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3C3A0">
      <w:pPr>
        <w:pStyle w:val="5"/>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Style w:val="4"/>
          <w:rFonts w:hint="default" w:ascii="宋体" w:hAnsi="宋体" w:eastAsia="宋体" w:cs="宋体"/>
          <w:b/>
          <w:bCs/>
          <w:color w:val="auto"/>
          <w:spacing w:val="0"/>
          <w:sz w:val="31"/>
          <w:szCs w:val="31"/>
          <w:highlight w:val="none"/>
          <w:lang w:val="en-US" w:eastAsia="zh-CN"/>
        </w:rPr>
      </w:pPr>
      <w:r>
        <w:rPr>
          <w:rStyle w:val="4"/>
          <w:rFonts w:hint="eastAsia" w:ascii="宋体" w:hAnsi="宋体" w:eastAsia="宋体" w:cs="宋体"/>
          <w:b/>
          <w:bCs/>
          <w:color w:val="auto"/>
          <w:spacing w:val="0"/>
          <w:sz w:val="31"/>
          <w:szCs w:val="31"/>
          <w:highlight w:val="none"/>
          <w:lang w:eastAsia="zh-CN"/>
        </w:rPr>
        <w:t>设备维修等后勤服务</w:t>
      </w:r>
      <w:r>
        <w:rPr>
          <w:rStyle w:val="4"/>
          <w:rFonts w:hint="eastAsia" w:ascii="宋体" w:hAnsi="宋体" w:eastAsia="宋体" w:cs="宋体"/>
          <w:b/>
          <w:bCs/>
          <w:color w:val="auto"/>
          <w:spacing w:val="0"/>
          <w:sz w:val="31"/>
          <w:szCs w:val="31"/>
          <w:highlight w:val="none"/>
        </w:rPr>
        <w:t>内容及要求</w:t>
      </w:r>
    </w:p>
    <w:p w14:paraId="7A16F439">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b/>
          <w:bCs/>
          <w:color w:val="auto"/>
          <w:sz w:val="28"/>
          <w:szCs w:val="21"/>
          <w:highlight w:val="none"/>
          <w:lang w:val="en-US" w:eastAsia="zh-CN"/>
        </w:rPr>
      </w:pPr>
      <w:r>
        <w:rPr>
          <w:rFonts w:hint="eastAsia" w:ascii="宋体" w:hAnsi="宋体" w:eastAsia="宋体" w:cs="宋体"/>
          <w:b/>
          <w:color w:val="auto"/>
          <w:sz w:val="28"/>
          <w:highlight w:val="none"/>
        </w:rPr>
        <w:t>★</w:t>
      </w:r>
      <w:r>
        <w:rPr>
          <w:rFonts w:hint="eastAsia" w:ascii="宋体" w:hAnsi="宋体" w:eastAsia="宋体" w:cs="宋体"/>
          <w:b/>
          <w:bCs/>
          <w:color w:val="auto"/>
          <w:sz w:val="28"/>
          <w:szCs w:val="21"/>
          <w:highlight w:val="none"/>
          <w:lang w:val="en-US" w:eastAsia="zh-CN"/>
        </w:rPr>
        <w:t>1、服务范围</w:t>
      </w:r>
    </w:p>
    <w:p w14:paraId="30647105">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负责福建医科大学附属口腔医院本部、仁德路门诊部、连江门诊部、口腔疾病研究重点实验室、交通路口腔医学院等范围内的由后勤处负责的所有设备和设施的维修维护管理服务（包含空调机、电话和环保相关、局部搬运以及公车运送驾驶服务）等。</w:t>
      </w:r>
    </w:p>
    <w:p w14:paraId="675D5027">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b/>
          <w:bCs/>
          <w:color w:val="auto"/>
          <w:sz w:val="28"/>
          <w:szCs w:val="21"/>
          <w:highlight w:val="none"/>
          <w:lang w:val="en-US" w:eastAsia="zh-CN"/>
        </w:rPr>
      </w:pPr>
      <w:r>
        <w:rPr>
          <w:rFonts w:hint="eastAsia" w:ascii="宋体" w:hAnsi="宋体" w:eastAsia="宋体" w:cs="宋体"/>
          <w:b/>
          <w:bCs/>
          <w:color w:val="auto"/>
          <w:sz w:val="28"/>
          <w:szCs w:val="21"/>
          <w:highlight w:val="none"/>
          <w:lang w:val="en-US" w:eastAsia="zh-CN"/>
        </w:rPr>
        <w:t>2、服务内容</w:t>
      </w:r>
    </w:p>
    <w:p w14:paraId="2577EC84">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2.1供应商根据本项目需求，制定符合三甲医院管理要求，建立各项管理方案及规范化管理制度。</w:t>
      </w:r>
    </w:p>
    <w:p w14:paraId="086C5774">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2.2医院设备运行维护实现信息化管理；</w:t>
      </w:r>
    </w:p>
    <w:p w14:paraId="638FBEF7">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2.3供应商需制定清晰的设备维护与报修流程；</w:t>
      </w:r>
    </w:p>
    <w:p w14:paraId="22469E1E">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2.4负责预防性维护：构建设备预防性维护体系，完善用户针对设备全生命周期管理上的日常维护、性能校正、设备保养、安全检测等环节；定期对全院在用设备进行全面巡查，对重点科室设备每月巡查，发现隐患及时排除；2.5负责协助设备计量检测、生命支持类设备质量控制；用于急救、生命支持系统仪器装备要始终保持在待用状态；</w:t>
      </w:r>
    </w:p>
    <w:p w14:paraId="34E00391">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2.6负责维修服务：提供不低于原厂商品质的专业设备维修服务；2.7供应商中标后，提供</w:t>
      </w:r>
      <w:r>
        <w:rPr>
          <w:rFonts w:hint="eastAsia" w:ascii="宋体" w:hAnsi="宋体" w:eastAsia="宋体" w:cs="宋体"/>
          <w:strike w:val="0"/>
          <w:dstrike w:val="0"/>
          <w:color w:val="auto"/>
          <w:sz w:val="24"/>
          <w:highlight w:val="none"/>
          <w:lang w:val="en-US" w:eastAsia="zh-CN"/>
        </w:rPr>
        <w:t>进场服务的同时</w:t>
      </w:r>
      <w:r>
        <w:rPr>
          <w:rFonts w:hint="eastAsia" w:ascii="宋体" w:hAnsi="宋体" w:eastAsia="宋体" w:cs="宋体"/>
          <w:color w:val="auto"/>
          <w:sz w:val="24"/>
          <w:highlight w:val="none"/>
          <w:lang w:val="en-US" w:eastAsia="zh-CN"/>
        </w:rPr>
        <w:t>应及时会同采购人对所有设备进行摸排建档、登记及维修保养数据分析；</w:t>
      </w:r>
    </w:p>
    <w:p w14:paraId="3723EA46">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2.8维修中遇到难以判断或一时无法解决的问题，应及时协同其他维修力量进行维修，尽快解决故障；</w:t>
      </w:r>
    </w:p>
    <w:p w14:paraId="7167729F">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2.9维修后的设备须达到国家相关文件要求后方可投入使用；</w:t>
      </w:r>
    </w:p>
    <w:p w14:paraId="3693908B">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2.10建立常用配件备件库，配件费用由采购人承担；</w:t>
      </w:r>
    </w:p>
    <w:p w14:paraId="40E047C3">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2.11配合完成医疗设备的调配工作；</w:t>
      </w:r>
    </w:p>
    <w:p w14:paraId="362C06BF">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2.12配合医院完成其他临时事务性工作；</w:t>
      </w:r>
    </w:p>
    <w:p w14:paraId="2846046A">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2.13协助设备厂商做好设备安装验收和维保工作；</w:t>
      </w:r>
    </w:p>
    <w:p w14:paraId="32A7FDEC">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2.14供应商需制定医院动力系统运行维护管理方案，包含但不限于(高压配电、发电机组、楼栋水电设备设施、供气系统等的运行与维护保养方案，符合三甲医院管理要求；</w:t>
      </w:r>
    </w:p>
    <w:p w14:paraId="6B61234C">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2.15供应商须建立信息化报修平台（投标时需提供管理软件的著作权证明或使用权购买凭证）；</w:t>
      </w:r>
    </w:p>
    <w:p w14:paraId="5C32A758">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2.16全面负责医院动力系统（包含水、电、气）及通用设备设施等后勤保障，做到日常运行检查、定期定级维修保养且台账清晰；</w:t>
      </w:r>
    </w:p>
    <w:p w14:paraId="4F8FC349">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2.17院本部高压配电房实行24小时双人双岗值班制，确保所有设备电力供应；</w:t>
      </w:r>
    </w:p>
    <w:p w14:paraId="5D07F636">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2.18供应商应具备应急服务能力，针对水、电、气及突发事件、自然灾害等后勤保障制定应急预案和应急演练方案，包括但不限于停水停电状况应急演练，电梯困人救援，生命支持类设备故障等情况，定期组织演练，做到安全、有序、到位，无安全事故；并承诺每年开展应急演练次数不少于2次。</w:t>
      </w:r>
    </w:p>
    <w:p w14:paraId="6EA26B60">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2.19供应商需对照《医疗机构污水污染物排放标准》(GB18466-2005)开展相关自行监测项目，负责院本部及仁德路门诊部污水处理站管理，</w:t>
      </w:r>
      <w:r>
        <w:rPr>
          <w:rFonts w:hint="eastAsia" w:ascii="宋体" w:hAnsi="宋体" w:eastAsia="宋体" w:cs="宋体"/>
          <w:strike w:val="0"/>
          <w:dstrike w:val="0"/>
          <w:color w:val="auto"/>
          <w:sz w:val="24"/>
          <w:highlight w:val="none"/>
          <w:lang w:val="en-US" w:eastAsia="zh-CN"/>
        </w:rPr>
        <w:t>确保污水处理的设备设施运转正常，负责日常运行操作，有运行日志与监测记录，做到符合环保要求（检测费用和消毒材料费用由采购人承担）。</w:t>
      </w:r>
    </w:p>
    <w:p w14:paraId="7D9A9E1E">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2.20</w:t>
      </w:r>
      <w:r>
        <w:rPr>
          <w:rFonts w:ascii="宋体" w:hAnsi="宋体" w:eastAsia="宋体" w:cs="宋体"/>
          <w:b w:val="0"/>
          <w:bCs/>
          <w:color w:val="auto"/>
          <w:sz w:val="24"/>
          <w:highlight w:val="none"/>
        </w:rPr>
        <w:t>开机率保证</w:t>
      </w:r>
      <w:r>
        <w:rPr>
          <w:rFonts w:hint="eastAsia" w:ascii="宋体" w:hAnsi="宋体" w:eastAsia="宋体" w:cs="宋体"/>
          <w:b w:val="0"/>
          <w:bCs/>
          <w:color w:val="auto"/>
          <w:sz w:val="24"/>
          <w:highlight w:val="none"/>
          <w:lang w:eastAsia="zh-CN"/>
        </w:rPr>
        <w:t>：</w:t>
      </w:r>
    </w:p>
    <w:tbl>
      <w:tblPr>
        <w:tblStyle w:val="2"/>
        <w:tblW w:w="4999" w:type="pct"/>
        <w:tblInd w:w="0" w:type="dxa"/>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2941"/>
        <w:gridCol w:w="5393"/>
      </w:tblGrid>
      <w:tr w14:paraId="1E1DC1AB">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176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6DBFEEFC">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放射影像设备开机率&gt;96%</w:t>
            </w:r>
          </w:p>
        </w:tc>
        <w:tc>
          <w:tcPr>
            <w:tcW w:w="323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5D37C83E">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按365天计算(10年以上设备不计入考核）</w:t>
            </w:r>
          </w:p>
        </w:tc>
      </w:tr>
      <w:tr w14:paraId="3542E9F7">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176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75D8B4F2">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重点科室设备开机率&gt;95%</w:t>
            </w:r>
          </w:p>
        </w:tc>
        <w:tc>
          <w:tcPr>
            <w:tcW w:w="323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1C3FBB40">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按365天计算(10年以上设备不计入考核）</w:t>
            </w:r>
          </w:p>
        </w:tc>
      </w:tr>
      <w:tr w14:paraId="3577C537">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1764"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265D23D2">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整体设备开机率&gt;93%</w:t>
            </w:r>
          </w:p>
        </w:tc>
        <w:tc>
          <w:tcPr>
            <w:tcW w:w="3235" w:type="pc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14:paraId="54F29132">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按365天计算(10年以上设备不计入考核）</w:t>
            </w:r>
          </w:p>
        </w:tc>
      </w:tr>
    </w:tbl>
    <w:p w14:paraId="1748CFB4">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2.21设备修复率：月度考核,即按报修时间起1个月内计算。（评审项21）</w:t>
      </w:r>
    </w:p>
    <w:tbl>
      <w:tblPr>
        <w:tblStyle w:val="2"/>
        <w:tblW w:w="4999" w:type="pct"/>
        <w:tblInd w:w="0" w:type="dxa"/>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Layout w:type="autofit"/>
        <w:tblCellMar>
          <w:top w:w="0" w:type="dxa"/>
          <w:left w:w="108" w:type="dxa"/>
          <w:bottom w:w="0" w:type="dxa"/>
          <w:right w:w="108" w:type="dxa"/>
        </w:tblCellMar>
      </w:tblPr>
      <w:tblGrid>
        <w:gridCol w:w="3529"/>
        <w:gridCol w:w="4985"/>
      </w:tblGrid>
      <w:tr w14:paraId="6BBC7B89">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2072" w:type="pct"/>
            <w:tcBorders>
              <w:top w:val="single" w:color="000000" w:sz="4" w:space="0"/>
              <w:left w:val="single" w:color="000000" w:sz="4" w:space="0"/>
              <w:bottom w:val="single" w:color="000000" w:sz="4" w:space="0"/>
              <w:right w:val="single" w:color="000000" w:sz="4" w:space="0"/>
            </w:tcBorders>
            <w:tcMar>
              <w:top w:w="15" w:type="dxa"/>
              <w:left w:w="105" w:type="dxa"/>
              <w:bottom w:w="15" w:type="dxa"/>
              <w:right w:w="105" w:type="dxa"/>
            </w:tcMar>
            <w:vAlign w:val="top"/>
          </w:tcPr>
          <w:p w14:paraId="12E1CE14">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5年内设备</w:t>
            </w:r>
          </w:p>
        </w:tc>
        <w:tc>
          <w:tcPr>
            <w:tcW w:w="2927" w:type="pct"/>
            <w:tcBorders>
              <w:top w:val="single" w:color="000000" w:sz="4" w:space="0"/>
              <w:left w:val="single" w:color="000000" w:sz="4" w:space="0"/>
              <w:bottom w:val="single" w:color="000000" w:sz="4" w:space="0"/>
              <w:right w:val="single" w:color="000000" w:sz="4" w:space="0"/>
            </w:tcBorders>
            <w:tcMar>
              <w:top w:w="15" w:type="dxa"/>
              <w:left w:w="105" w:type="dxa"/>
              <w:bottom w:w="15" w:type="dxa"/>
              <w:right w:w="105" w:type="dxa"/>
            </w:tcMar>
            <w:vAlign w:val="top"/>
          </w:tcPr>
          <w:p w14:paraId="1D0A06C7">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100%</w:t>
            </w:r>
          </w:p>
        </w:tc>
      </w:tr>
      <w:tr w14:paraId="60AAB16A">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2072" w:type="pct"/>
            <w:tcBorders>
              <w:top w:val="single" w:color="000000" w:sz="4" w:space="0"/>
              <w:left w:val="single" w:color="000000" w:sz="4" w:space="0"/>
              <w:bottom w:val="single" w:color="000000" w:sz="4" w:space="0"/>
              <w:right w:val="single" w:color="000000" w:sz="4" w:space="0"/>
            </w:tcBorders>
            <w:tcMar>
              <w:top w:w="15" w:type="dxa"/>
              <w:left w:w="105" w:type="dxa"/>
              <w:bottom w:w="15" w:type="dxa"/>
              <w:right w:w="105" w:type="dxa"/>
            </w:tcMar>
            <w:vAlign w:val="top"/>
          </w:tcPr>
          <w:p w14:paraId="560451DD">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6-10年内设备</w:t>
            </w:r>
          </w:p>
        </w:tc>
        <w:tc>
          <w:tcPr>
            <w:tcW w:w="2927" w:type="pct"/>
            <w:tcBorders>
              <w:top w:val="single" w:color="000000" w:sz="4" w:space="0"/>
              <w:left w:val="single" w:color="000000" w:sz="4" w:space="0"/>
              <w:bottom w:val="single" w:color="000000" w:sz="4" w:space="0"/>
              <w:right w:val="single" w:color="000000" w:sz="4" w:space="0"/>
            </w:tcBorders>
            <w:tcMar>
              <w:top w:w="15" w:type="dxa"/>
              <w:left w:w="105" w:type="dxa"/>
              <w:bottom w:w="15" w:type="dxa"/>
              <w:right w:w="105" w:type="dxa"/>
            </w:tcMar>
            <w:vAlign w:val="top"/>
          </w:tcPr>
          <w:p w14:paraId="6A5C60AA">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95%</w:t>
            </w:r>
          </w:p>
        </w:tc>
      </w:tr>
      <w:tr w14:paraId="3AA1C9BB">
        <w:tblPrEx>
          <w:tblBorders>
            <w:top w:val="single" w:color="000000" w:sz="4" w:space="0"/>
            <w:left w:val="single" w:color="000000" w:sz="4" w:space="0"/>
            <w:bottom w:val="single" w:color="000000" w:sz="4" w:space="0"/>
            <w:right w:val="single" w:color="000000" w:sz="4" w:space="0"/>
            <w:insideH w:val="single" w:color="auto" w:sz="0" w:space="0"/>
            <w:insideV w:val="single" w:color="auto" w:sz="0" w:space="0"/>
          </w:tblBorders>
          <w:tblCellMar>
            <w:top w:w="0" w:type="dxa"/>
            <w:left w:w="108" w:type="dxa"/>
            <w:bottom w:w="0" w:type="dxa"/>
            <w:right w:w="108" w:type="dxa"/>
          </w:tblCellMar>
        </w:tblPrEx>
        <w:tc>
          <w:tcPr>
            <w:tcW w:w="2072" w:type="pct"/>
            <w:tcBorders>
              <w:top w:val="single" w:color="000000" w:sz="4" w:space="0"/>
              <w:left w:val="single" w:color="000000" w:sz="4" w:space="0"/>
              <w:bottom w:val="single" w:color="000000" w:sz="4" w:space="0"/>
              <w:right w:val="single" w:color="000000" w:sz="4" w:space="0"/>
            </w:tcBorders>
            <w:tcMar>
              <w:top w:w="15" w:type="dxa"/>
              <w:left w:w="105" w:type="dxa"/>
              <w:bottom w:w="15" w:type="dxa"/>
              <w:right w:w="105" w:type="dxa"/>
            </w:tcMar>
            <w:vAlign w:val="top"/>
          </w:tcPr>
          <w:p w14:paraId="009FBC3C">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10年以上设备</w:t>
            </w:r>
          </w:p>
        </w:tc>
        <w:tc>
          <w:tcPr>
            <w:tcW w:w="2927" w:type="pct"/>
            <w:tcBorders>
              <w:top w:val="single" w:color="000000" w:sz="4" w:space="0"/>
              <w:left w:val="single" w:color="000000" w:sz="4" w:space="0"/>
              <w:bottom w:val="single" w:color="000000" w:sz="4" w:space="0"/>
              <w:right w:val="single" w:color="000000" w:sz="4" w:space="0"/>
            </w:tcBorders>
            <w:tcMar>
              <w:top w:w="15" w:type="dxa"/>
              <w:left w:w="105" w:type="dxa"/>
              <w:bottom w:w="15" w:type="dxa"/>
              <w:right w:w="105" w:type="dxa"/>
            </w:tcMar>
            <w:vAlign w:val="top"/>
          </w:tcPr>
          <w:p w14:paraId="4F1AF96A">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90%</w:t>
            </w:r>
          </w:p>
        </w:tc>
      </w:tr>
    </w:tbl>
    <w:p w14:paraId="4330C39B">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2.22供应商需定期清洗二次供水水箱，至少一个季度一次，并有水质检测报告；</w:t>
      </w:r>
    </w:p>
    <w:p w14:paraId="783DEB63">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2.23供应商负责空调机的拆装移机、维修、补充制冷剂等，每年至少内外机清洗二次；</w:t>
      </w:r>
    </w:p>
    <w:p w14:paraId="6DEE5873">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2.24负责小电器的维修服务包括：电视机、微波炉、开水器、热水器、电风扇、排气扇,除湿机、风幕机、碎纸机、冰箱、消毒柜、保险柜、洗衣机等生活电器及霓虹灯、电话、闭路电视系统、吊顶扣板、箱、柜、锁等的修缮和零星安装工作；</w:t>
      </w:r>
    </w:p>
    <w:p w14:paraId="2F653B01">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2.25提供零星人工搬运；配合采购人完成其他临时事务性工作。</w:t>
      </w:r>
    </w:p>
    <w:p w14:paraId="324F9DBB">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2.26供应商负责院内公车的运行及日常维护保养工作，负责各分门诊部的材料运送等，保障临时应急用车（车辆油费、过路费、保险、维护维修费由采购人全额支出）；</w:t>
      </w:r>
    </w:p>
    <w:p w14:paraId="5EECEC15">
      <w:pPr>
        <w:pStyle w:val="5"/>
        <w:keepNext w:val="0"/>
        <w:keepLines w:val="0"/>
        <w:pageBreakBefore w:val="0"/>
        <w:widowControl/>
        <w:kinsoku/>
        <w:wordWrap/>
        <w:overflowPunct/>
        <w:topLinePunct w:val="0"/>
        <w:autoSpaceDE/>
        <w:autoSpaceDN/>
        <w:bidi w:val="0"/>
        <w:adjustRightInd/>
        <w:snapToGrid/>
        <w:spacing w:line="100" w:lineRule="exact"/>
        <w:ind w:firstLine="482"/>
        <w:jc w:val="left"/>
        <w:textAlignment w:val="auto"/>
        <w:rPr>
          <w:rFonts w:hint="eastAsia" w:ascii="宋体" w:hAnsi="宋体" w:eastAsia="宋体" w:cs="宋体"/>
          <w:color w:val="auto"/>
          <w:sz w:val="24"/>
          <w:highlight w:val="none"/>
          <w:lang w:val="en-US" w:eastAsia="zh-CN"/>
        </w:rPr>
      </w:pPr>
    </w:p>
    <w:p w14:paraId="37C91D15">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default" w:ascii="宋体" w:hAnsi="宋体" w:eastAsia="宋体" w:cs="宋体"/>
          <w:b/>
          <w:bCs/>
          <w:color w:val="auto"/>
          <w:sz w:val="28"/>
          <w:szCs w:val="21"/>
          <w:highlight w:val="none"/>
          <w:lang w:val="en-US" w:eastAsia="zh-CN"/>
        </w:rPr>
      </w:pPr>
      <w:r>
        <w:rPr>
          <w:rFonts w:hint="eastAsia" w:ascii="宋体" w:hAnsi="宋体" w:eastAsia="宋体" w:cs="宋体"/>
          <w:b/>
          <w:color w:val="auto"/>
          <w:sz w:val="28"/>
          <w:highlight w:val="none"/>
        </w:rPr>
        <w:t>★</w:t>
      </w:r>
      <w:r>
        <w:rPr>
          <w:rFonts w:hint="eastAsia" w:ascii="宋体" w:hAnsi="宋体" w:eastAsia="宋体" w:cs="宋体"/>
          <w:b/>
          <w:bCs/>
          <w:color w:val="auto"/>
          <w:sz w:val="28"/>
          <w:szCs w:val="21"/>
          <w:highlight w:val="none"/>
          <w:lang w:val="en-US" w:eastAsia="zh-CN"/>
        </w:rPr>
        <w:t>3、项目人员和管理要求</w:t>
      </w:r>
    </w:p>
    <w:p w14:paraId="50AC48C1">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本项目共设置岗位人员29人，具体配置如下：专职项目经理1人；司机3.5人（含0.5人备班）；设备维修8人（含连江门诊部0.5人备班）；配电房24小时值班人员7人；污水处理操作人员2人；空调维修人员2人；水电维修5.5人（含连江门诊部0.5人备班，其中须配备具备医学装备工程技术相关高级职称的专业人员1名）。</w:t>
      </w:r>
    </w:p>
    <w:p w14:paraId="7A8C08EA">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特殊工种人员须持有对应岗位资格证书。结合采购人日常公务用车需求，供应商拟派驻场司机3名，其中持有</w:t>
      </w:r>
      <w:bookmarkStart w:id="0" w:name="_GoBack"/>
      <w:bookmarkEnd w:id="0"/>
      <w:r>
        <w:rPr>
          <w:rFonts w:hint="eastAsia" w:ascii="宋体" w:hAnsi="宋体" w:eastAsia="宋体" w:cs="宋体"/>
          <w:color w:val="auto"/>
          <w:sz w:val="24"/>
          <w:highlight w:val="none"/>
          <w:lang w:val="en-US" w:eastAsia="zh-CN"/>
        </w:rPr>
        <w:t>A1驾驶证人员不少于1名。</w:t>
      </w:r>
    </w:p>
    <w:p w14:paraId="41DF4C9D">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3.1供应商每月上旬向采购人提交上月项目工作月报；</w:t>
      </w:r>
    </w:p>
    <w:p w14:paraId="0EB0288F">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3.2供应商拟配备的空调维修人员需持有低压电工作业、高处作业、焊接作业、制冷与空调修理作业的资格证书（至少2名）；</w:t>
      </w:r>
    </w:p>
    <w:p w14:paraId="46436152">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3.3在福建医科大学附属口腔医院本部设置服务中心，设24小时报修电话；</w:t>
      </w:r>
    </w:p>
    <w:p w14:paraId="3A3512A9">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3.4供应商应制定员工奖奖励方案，给予实质性奖励措施；</w:t>
      </w:r>
    </w:p>
    <w:p w14:paraId="0FCD62B4">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3.5供应商需针对本项目承诺拟配备的团队人员具有大专以上学历占比25%以上；</w:t>
      </w:r>
    </w:p>
    <w:p w14:paraId="20B096D2">
      <w:pPr>
        <w:pStyle w:val="5"/>
        <w:keepNext w:val="0"/>
        <w:keepLines w:val="0"/>
        <w:pageBreakBefore w:val="0"/>
        <w:widowControl/>
        <w:kinsoku/>
        <w:wordWrap/>
        <w:overflowPunct/>
        <w:topLinePunct w:val="0"/>
        <w:autoSpaceDE/>
        <w:autoSpaceDN/>
        <w:bidi w:val="0"/>
        <w:adjustRightInd/>
        <w:snapToGrid/>
        <w:spacing w:line="400" w:lineRule="exact"/>
        <w:ind w:firstLine="482"/>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3.6供应商应建立常用配件备件库，中标后由中标人承担每年5万元额度的单价300元以下低值维修配件。</w:t>
      </w:r>
    </w:p>
    <w:p w14:paraId="70A9A1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F694F"/>
    <w:rsid w:val="059562B8"/>
    <w:rsid w:val="1D8334A3"/>
    <w:rsid w:val="1E8E20FF"/>
    <w:rsid w:val="238F694F"/>
    <w:rsid w:val="39C21872"/>
    <w:rsid w:val="658E454C"/>
    <w:rsid w:val="75776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2033</Words>
  <Characters>2222</Characters>
  <Lines>0</Lines>
  <Paragraphs>0</Paragraphs>
  <TotalTime>3</TotalTime>
  <ScaleCrop>false</ScaleCrop>
  <LinksUpToDate>false</LinksUpToDate>
  <CharactersWithSpaces>2222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2026-04-13T09:42:00Z</dcterms:created>
  <dc:creator>后勤处</dc:creator>
  <cp:lastModifiedBy>后勤处</cp:lastModifiedBy>
  <dcterms:modified xsi:type="dcterms:W3CDTF">2026-04-14T09:07:55Z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F0579E379CAB47BD82B3197BC22C5C97_13</vt:lpwstr>
  </property>
  <property fmtid="{D5CDD505-2E9C-101B-9397-08002B2CF9AE}" pid="4" name="KSOTemplateDocerSaveRecord">
    <vt:lpwstr>eyJoZGlkIjoiM2I5ZTA5MzQ2ZGQ5YjA0MTM1NDIxZTc5YTQ5YzI3OGEiLCJ1c2VySWQiOiIxNzY2MjcxMDgzIn0=</vt:lpwstr>
  </property>
</Properties>
</file>