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附件：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主要技术规格及要求：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总体要求：集成式核酸检测实验室（单舱）配备三个主实验室、缓冲及pcr走廊，且在同一实验舱实现试剂准备、样本处理、扩增实验分析的三个主体功能，满足核酸检测流程诉求，为加强型生物安全防护二级标准室设计、生产实验室，具有独立的生物密闭与空气处理装置，气流组织采用单向流设计。实验室产生的污水经过处理使其排放符合国家现行要求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2.设计依据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2.1新型冠状病毒感染的肺炎实验室检测技术指南（第三版）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2.2医疗机构临床基因扩增检验实验室管理办法 2010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2.3 GB 50346-2011 生物安全实验室建筑技术规范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2.4 GB19489-2008 实验室生物安全通用要求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2.5 GB50849-2014：传染病医院建筑设计规范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2.6 GB50686-2011： 传染病医院建筑施工及验收规范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2.7 WS 233-2017 病原微生物实验室生物安全通用准则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2.8 GB 27421-2015 实验室生物安全要求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3.实验室设计要求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3.1 实验室要按医疗机构临床基因扩增检验实验室管理办法的要求设置，主要实验区要求试剂储存和准备区、标本制备区、扩增区、扩增产物分析区，考虑到采用实时荧光 PCR 仪及场地限制，扩增区和扩增分析区可以合并为一个核酸检测区。实验室整体按加强型负压生物安全二级实验室进行设计、生产。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3.2 方舱占地面积大于41.1/51平方（方舱长13.7/17米，宽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3米，高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3米，四周最好各预留1米宽通道）；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3.3实验室配套：通风空调系统、给排水系统、供电系统、弱电（网络通信和监控）系统、中央管理站等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3.4配套检测设备：</w:t>
      </w:r>
    </w:p>
    <w:tbl>
      <w:tblPr>
        <w:tblStyle w:val="4"/>
        <w:tblW w:w="6385" w:type="dxa"/>
        <w:jc w:val="center"/>
        <w:tblInd w:w="1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345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序号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仪器名称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生物安全柜A2型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医用低温保存箱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医用冷藏箱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离心机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振荡器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移液器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全自动核酸提取仪（96孔）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生物安全柜B2型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医用冷藏箱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离心机（八联管）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imi离心机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八联排枪移液器（进口）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微型振荡器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生化恒温培养箱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水浴锅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-8</w:t>
            </w:r>
            <w:r>
              <w:rPr>
                <w:rFonts w:hint="eastAsia" w:ascii="宋体" w:hAnsi="宋体"/>
                <w:szCs w:val="21"/>
              </w:rPr>
              <w:t>0℃冰箱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PCR扩增仪（96孔）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条码打印机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报告打印机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医用冷藏箱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压力蒸汽灭菌器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紫外消毒车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以上设备选用品牌型号须大多数医院常用的，要选用性能中等以上较好。有尺寸要求的，比如冰箱、生物安全柜和灭菌器等，可以按具体尺寸和容量报价。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设备安装、调试结束后，由中标人负责并会同采购人及有关部门或专家（如需）按国家相关标准要求进行最终验收。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80" w:firstLineChars="2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设备保修期至少3年。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C76DA"/>
    <w:multiLevelType w:val="singleLevel"/>
    <w:tmpl w:val="C22C76D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349D6"/>
    <w:rsid w:val="17AA078C"/>
    <w:rsid w:val="181E239E"/>
    <w:rsid w:val="46236765"/>
    <w:rsid w:val="475349D6"/>
    <w:rsid w:val="79E514CB"/>
    <w:rsid w:val="7F6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2022-05-04T05:37:00Z</dcterms:created>
  <dc:creator>口腔总务</dc:creator>
  <cp:lastModifiedBy>口腔总务</cp:lastModifiedBy>
  <dcterms:modified xsi:type="dcterms:W3CDTF">2022-05-05T00:32:31Z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