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口腔疾病研究重点实验室设备参数要求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振荡器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1.操作显示方式：按键 + 数显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2.圆周直径：3mm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3.振荡方式：圆周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4.运行方式：连续运转或点动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5.速度范围：300 ~3000rpm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6.定时范围：1s ~999min</w:t>
      </w:r>
      <w:r>
        <w:rPr>
          <w:rFonts w:hint="default" w:ascii="Times New Roman" w:hAnsi="Times New Roman" w:eastAsia="Times New Roman" w:cs="Times New Roman"/>
          <w:vanish/>
          <w:sz w:val="28"/>
          <w:szCs w:val="28"/>
          <w:bdr w:val="none" w:color="auto" w:sz="0" w:space="0"/>
          <w:lang w:val="en-US"/>
        </w:rPr>
        <w:object>
          <v:shape id="_x0000_i1025" o:spt="201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制冰机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1.制冰量kg/24h：≥30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2.储冰量kg：≥10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3.冷凝方式：风冷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4.耗水量(L/H)：≤1.2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5.冰型：不规则的细小颗粒状的雪花碎冰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  <w:t>三、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数字式可变倾斜角平板摇床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1.转速范围：5 ~80rpm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2.振幅：上下25mm（10°）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3.定时范围：1min ~99h59min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4.最大载量：5.0kgs (单层托盘)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5.托盘尺寸：≥ L.280 x W.228mm  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  <w:t>四、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微孔板混匀器水平平板摇床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8"/>
          <w:szCs w:val="28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1.可调速度范围: 200-1500rpm 标准     200-1000rpm-离心管架或深孔板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2.定时范围: 1min-99h59min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3.振荡幅度与方式: 3mm（水平回转）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4.样品处理量：4块标准微孔板/培养板等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33330"/>
    <w:multiLevelType w:val="singleLevel"/>
    <w:tmpl w:val="30B333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B1B5B"/>
    <w:rsid w:val="341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66CC"/>
      <w:u w:val="none"/>
    </w:rPr>
  </w:style>
  <w:style w:type="character" w:styleId="6">
    <w:name w:val="Hyperlink"/>
    <w:basedOn w:val="4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2021-06-01T00:55:00Z</dcterms:created>
  <dc:creator>骆驼</dc:creator>
  <cp:lastModifiedBy>骆驼</cp:lastModifiedBy>
  <dcterms:modified xsi:type="dcterms:W3CDTF">2021-06-01T01:01:36Z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9CC57E901BCE4783A475D741863F4E2F</vt:lpwstr>
  </property>
</Properties>
</file>