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 w:ascii="Times New Roman" w:hAnsi="Times New Roman" w:eastAsia="宋体" w:cs="Times New Roman"/>
          <w:sz w:val="28"/>
          <w:szCs w:val="28"/>
          <w:bdr w:val="none" w:color="auto" w:sz="0" w:space="0"/>
          <w:lang w:val="en-US" w:eastAsia="zh-CN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>荧光定量PCR仪</w:t>
      </w:r>
      <w:r>
        <w:rPr>
          <w:rFonts w:hint="eastAsia" w:ascii="Times New Roman" w:hAnsi="Times New Roman" w:eastAsia="宋体" w:cs="Times New Roman"/>
          <w:sz w:val="28"/>
          <w:szCs w:val="28"/>
          <w:bdr w:val="none" w:color="auto" w:sz="0" w:space="0"/>
          <w:lang w:val="en-US" w:eastAsia="zh-CN"/>
        </w:rPr>
        <w:t>参数要求</w:t>
      </w:r>
    </w:p>
    <w:p>
      <w:pPr>
        <w:rPr>
          <w:rFonts w:hint="eastAsia" w:ascii="Times New Roman" w:hAnsi="Times New Roman" w:eastAsia="宋体" w:cs="Times New Roman"/>
          <w:sz w:val="28"/>
          <w:szCs w:val="28"/>
          <w:bdr w:val="none" w:color="auto" w:sz="0" w:space="0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/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热循环系统：采用半导体控温；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2.检测通道：≥6色激发光通道和≥6色检测光通道；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3.模块规格：≥3种模块可选，至少包含96孔0.2ml模块/96孔0.1ml模块/384孔模块；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4.反应体积：采用96孔0.2ml模块时为10-100 μL；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5.支持耗材：96孔反应板与光学盖膜，八连管，单管；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6. 温控模块最高升降温速率： ≥6.5℃/秒；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7.热槽温度范围：4℃～100℃；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8. 光学系统：高亮度白光半导体光源、≥6色激发滤光片、≥6色检测滤光片、冷CCD成像系统；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9.荧光染料：能同时检测并区分VIC荧光和TAMRA荧光，以用于基因拷贝数（CNV）检测，仪器带有基因拷贝数的结果分析软件；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10.用户可选择利用仪器随机软件检测内参比荧光ROX，用于诊断反应实验异常来校正加样误差和管间差异；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11.数据同时采集：同时对所有反应孔采集荧光数据，不同孔间不存在时间差；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12. 具有拷贝数变异分析功能，能提供原厂生产的分析软件和相关配套试剂；具有蛋白定量表达检测功能，能提供原厂生产的分析软件和相关配套试剂。 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  <w:rPr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二、仪器配置要求：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1. 定量PCR仪主机一台；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2. 计算机工作站1套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3. 起始安装单元套装1套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4. 系统操作软件1套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>5. 分析软件1套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vanish/>
          <w:sz w:val="28"/>
          <w:szCs w:val="28"/>
          <w:bdr w:val="none" w:color="auto" w:sz="0" w:space="0"/>
          <w:lang w:val="en-US"/>
        </w:rPr>
        <w:object>
          <v:shape id="_x0000_i1025" o:spt="201" type="#_x0000_t201" style="height:18pt;width:7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" w:name="Control 1" w:shapeid="_x0000_i1025"/>
        </w:object>
      </w:r>
    </w:p>
    <w:p>
      <w:pPr>
        <w:rPr>
          <w:rFonts w:hint="eastAsia" w:ascii="Times New Roman" w:hAnsi="Times New Roman" w:eastAsia="宋体" w:cs="Times New Roman"/>
          <w:sz w:val="21"/>
          <w:szCs w:val="21"/>
          <w:bdr w:val="none" w:color="auto" w:sz="0" w:space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18323E"/>
    <w:multiLevelType w:val="singleLevel"/>
    <w:tmpl w:val="611832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A0DB0"/>
    <w:rsid w:val="478A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FollowedHyperlink"/>
    <w:basedOn w:val="4"/>
    <w:uiPriority w:val="0"/>
    <w:rPr>
      <w:color w:val="0066CC"/>
      <w:u w:val="none"/>
    </w:rPr>
  </w:style>
  <w:style w:type="character" w:styleId="6">
    <w:name w:val="Hyperlink"/>
    <w:basedOn w:val="4"/>
    <w:uiPriority w:val="0"/>
    <w:rPr>
      <w:color w:val="0066CC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2021-07-13T01:42:00Z</dcterms:created>
  <dc:creator>骆驼</dc:creator>
  <cp:lastModifiedBy>骆驼</cp:lastModifiedBy>
  <dcterms:modified xsi:type="dcterms:W3CDTF">2021-07-13T01:47:58Z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237D867D5F114B909C5DC94A8C8DBE68</vt:lpwstr>
  </property>
</Properties>
</file>