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DE" w:rsidRDefault="00046CDE">
      <w:pPr>
        <w:rPr>
          <w:rFonts w:ascii="宋体" w:cs="Times New Roman"/>
          <w:sz w:val="24"/>
          <w:szCs w:val="24"/>
        </w:rPr>
      </w:pPr>
    </w:p>
    <w:p w:rsidR="00046CDE" w:rsidRDefault="00046CDE">
      <w:pPr>
        <w:rPr>
          <w:rFonts w:ascii="宋体" w:cs="宋体"/>
          <w:sz w:val="24"/>
          <w:szCs w:val="24"/>
        </w:rPr>
      </w:pPr>
      <w:r>
        <w:rPr>
          <w:rFonts w:ascii="宋体" w:hAnsi="宋体" w:cs="宋体" w:hint="eastAsia"/>
          <w:sz w:val="24"/>
          <w:szCs w:val="24"/>
        </w:rPr>
        <w:t>附件：</w:t>
      </w:r>
    </w:p>
    <w:p w:rsidR="00046CDE" w:rsidRPr="008933B7" w:rsidRDefault="00046CDE">
      <w:pPr>
        <w:rPr>
          <w:rFonts w:ascii="宋体" w:cs="Times New Roman"/>
          <w:b/>
          <w:bCs/>
          <w:sz w:val="32"/>
          <w:szCs w:val="32"/>
        </w:rPr>
      </w:pPr>
      <w:r w:rsidRPr="008933B7">
        <w:rPr>
          <w:rFonts w:ascii="宋体" w:hAnsi="宋体" w:cs="宋体" w:hint="eastAsia"/>
          <w:b/>
          <w:bCs/>
          <w:sz w:val="32"/>
          <w:szCs w:val="32"/>
        </w:rPr>
        <w:t>网络安全等级保护咨询服务</w:t>
      </w:r>
    </w:p>
    <w:p w:rsidR="00046CDE" w:rsidRDefault="00046CDE">
      <w:pPr>
        <w:numPr>
          <w:ilvl w:val="0"/>
          <w:numId w:val="1"/>
        </w:numPr>
        <w:rPr>
          <w:rFonts w:ascii="宋体" w:cs="Times New Roman"/>
          <w:sz w:val="24"/>
          <w:szCs w:val="24"/>
        </w:rPr>
      </w:pPr>
      <w:r>
        <w:rPr>
          <w:rFonts w:ascii="宋体" w:hAnsi="宋体" w:cs="宋体" w:hint="eastAsia"/>
          <w:sz w:val="24"/>
          <w:szCs w:val="24"/>
        </w:rPr>
        <w:t>服务对象：主要信息系统及部分互联网业务（网站）系统，包括：</w:t>
      </w:r>
      <w:r>
        <w:rPr>
          <w:rFonts w:ascii="宋体" w:hAnsi="宋体" w:cs="宋体"/>
          <w:color w:val="000000"/>
          <w:sz w:val="24"/>
          <w:szCs w:val="24"/>
        </w:rPr>
        <w:t>HIS</w:t>
      </w:r>
      <w:r>
        <w:rPr>
          <w:rFonts w:ascii="宋体" w:hAnsi="宋体" w:cs="宋体" w:hint="eastAsia"/>
          <w:color w:val="000000"/>
          <w:sz w:val="24"/>
          <w:szCs w:val="24"/>
        </w:rPr>
        <w:t>、</w:t>
      </w:r>
      <w:r>
        <w:rPr>
          <w:rFonts w:ascii="宋体" w:hAnsi="宋体" w:cs="宋体"/>
          <w:color w:val="000000"/>
          <w:sz w:val="24"/>
          <w:szCs w:val="24"/>
        </w:rPr>
        <w:t>LIS</w:t>
      </w:r>
      <w:r>
        <w:rPr>
          <w:rFonts w:ascii="宋体" w:hAnsi="宋体" w:cs="宋体" w:hint="eastAsia"/>
          <w:color w:val="000000"/>
          <w:sz w:val="24"/>
          <w:szCs w:val="24"/>
        </w:rPr>
        <w:t>、</w:t>
      </w:r>
      <w:r>
        <w:rPr>
          <w:rFonts w:ascii="宋体" w:hAnsi="宋体" w:cs="宋体"/>
          <w:color w:val="000000"/>
          <w:sz w:val="24"/>
          <w:szCs w:val="24"/>
        </w:rPr>
        <w:t>PACS</w:t>
      </w:r>
      <w:r>
        <w:rPr>
          <w:rFonts w:ascii="宋体" w:hAnsi="宋体" w:cs="宋体" w:hint="eastAsia"/>
          <w:color w:val="000000"/>
          <w:sz w:val="24"/>
          <w:szCs w:val="24"/>
        </w:rPr>
        <w:t>、电子病历系统</w:t>
      </w:r>
      <w:r>
        <w:rPr>
          <w:rFonts w:ascii="宋体" w:hAnsi="宋体" w:cs="宋体" w:hint="eastAsia"/>
          <w:sz w:val="24"/>
          <w:szCs w:val="24"/>
        </w:rPr>
        <w:t>、集成平台、</w:t>
      </w:r>
      <w:r>
        <w:rPr>
          <w:rFonts w:ascii="宋体" w:hAnsi="宋体" w:cs="宋体"/>
          <w:sz w:val="24"/>
          <w:szCs w:val="24"/>
        </w:rPr>
        <w:t>2</w:t>
      </w:r>
      <w:r>
        <w:rPr>
          <w:rFonts w:ascii="宋体" w:hAnsi="宋体" w:cs="宋体" w:hint="eastAsia"/>
          <w:sz w:val="24"/>
          <w:szCs w:val="24"/>
        </w:rPr>
        <w:t>个公众号（福建医科大学附属口腔医院、福建省口腔医院）、互联网医院系统、门户网站、公共显示大屏系统。</w:t>
      </w:r>
    </w:p>
    <w:p w:rsidR="00046CDE" w:rsidRDefault="00046CDE">
      <w:pPr>
        <w:numPr>
          <w:ilvl w:val="0"/>
          <w:numId w:val="1"/>
        </w:numPr>
        <w:rPr>
          <w:rFonts w:ascii="宋体" w:cs="Times New Roman"/>
          <w:sz w:val="24"/>
          <w:szCs w:val="24"/>
        </w:rPr>
      </w:pPr>
      <w:r>
        <w:rPr>
          <w:rFonts w:ascii="宋体" w:hAnsi="宋体" w:cs="宋体" w:hint="eastAsia"/>
          <w:sz w:val="24"/>
          <w:szCs w:val="24"/>
        </w:rPr>
        <w:t>服务周期：签订合同至项目服务对象全部通过网络安全等级保护测评并取得网安部门发放的等级保护备案证为止，提供应急响应服务服务期为签订合同后一年。</w:t>
      </w:r>
    </w:p>
    <w:p w:rsidR="00046CDE" w:rsidRDefault="00046CDE">
      <w:pPr>
        <w:numPr>
          <w:ilvl w:val="0"/>
          <w:numId w:val="1"/>
        </w:numPr>
        <w:rPr>
          <w:rFonts w:ascii="宋体" w:cs="Times New Roman"/>
          <w:sz w:val="24"/>
          <w:szCs w:val="24"/>
        </w:rPr>
      </w:pPr>
      <w:r>
        <w:rPr>
          <w:rFonts w:ascii="宋体" w:hAnsi="宋体" w:cs="宋体" w:hint="eastAsia"/>
          <w:sz w:val="24"/>
          <w:szCs w:val="24"/>
        </w:rPr>
        <w:t>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368"/>
        <w:gridCol w:w="2976"/>
        <w:gridCol w:w="1559"/>
        <w:gridCol w:w="709"/>
        <w:gridCol w:w="1098"/>
      </w:tblGrid>
      <w:tr w:rsidR="00046CDE" w:rsidRPr="00941D11">
        <w:trPr>
          <w:trHeight w:val="539"/>
          <w:tblHeader/>
          <w:jc w:val="center"/>
        </w:trPr>
        <w:tc>
          <w:tcPr>
            <w:tcW w:w="640" w:type="dxa"/>
            <w:shd w:val="clear" w:color="000000" w:fill="D9D9D9"/>
            <w:vAlign w:val="center"/>
          </w:tcPr>
          <w:p w:rsidR="00046CDE" w:rsidRPr="00941D11" w:rsidRDefault="00046CDE">
            <w:pPr>
              <w:widowControl/>
              <w:spacing w:line="360" w:lineRule="auto"/>
              <w:jc w:val="center"/>
              <w:rPr>
                <w:rFonts w:ascii="宋体" w:cs="宋体"/>
                <w:b/>
                <w:bCs/>
                <w:color w:val="000000"/>
                <w:kern w:val="0"/>
                <w:sz w:val="24"/>
                <w:szCs w:val="24"/>
              </w:rPr>
            </w:pPr>
            <w:r w:rsidRPr="00941D11">
              <w:rPr>
                <w:rFonts w:ascii="宋体" w:hAnsi="宋体" w:cs="宋体" w:hint="eastAsia"/>
                <w:b/>
                <w:bCs/>
                <w:color w:val="000000"/>
                <w:kern w:val="0"/>
                <w:sz w:val="24"/>
                <w:szCs w:val="24"/>
              </w:rPr>
              <w:t>序号</w:t>
            </w:r>
          </w:p>
        </w:tc>
        <w:tc>
          <w:tcPr>
            <w:tcW w:w="1368" w:type="dxa"/>
            <w:shd w:val="clear" w:color="000000" w:fill="D9D9D9"/>
            <w:vAlign w:val="center"/>
          </w:tcPr>
          <w:p w:rsidR="00046CDE" w:rsidRPr="00941D11" w:rsidRDefault="00046CDE">
            <w:pPr>
              <w:widowControl/>
              <w:spacing w:line="360" w:lineRule="auto"/>
              <w:jc w:val="center"/>
              <w:rPr>
                <w:rFonts w:ascii="宋体" w:cs="宋体"/>
                <w:b/>
                <w:bCs/>
                <w:color w:val="000000"/>
                <w:kern w:val="0"/>
                <w:sz w:val="24"/>
                <w:szCs w:val="24"/>
              </w:rPr>
            </w:pPr>
            <w:r w:rsidRPr="00941D11">
              <w:rPr>
                <w:rFonts w:ascii="宋体" w:hAnsi="宋体" w:cs="宋体" w:hint="eastAsia"/>
                <w:b/>
                <w:bCs/>
                <w:color w:val="000000"/>
                <w:kern w:val="0"/>
                <w:sz w:val="24"/>
                <w:szCs w:val="24"/>
              </w:rPr>
              <w:t>服务项目</w:t>
            </w:r>
          </w:p>
        </w:tc>
        <w:tc>
          <w:tcPr>
            <w:tcW w:w="2976" w:type="dxa"/>
            <w:shd w:val="clear" w:color="000000" w:fill="D9D9D9"/>
            <w:vAlign w:val="center"/>
          </w:tcPr>
          <w:p w:rsidR="00046CDE" w:rsidRPr="00941D11" w:rsidRDefault="00046CDE">
            <w:pPr>
              <w:widowControl/>
              <w:spacing w:line="360" w:lineRule="auto"/>
              <w:jc w:val="center"/>
              <w:rPr>
                <w:rFonts w:ascii="宋体" w:cs="宋体"/>
                <w:b/>
                <w:bCs/>
                <w:color w:val="000000"/>
                <w:kern w:val="0"/>
                <w:sz w:val="24"/>
                <w:szCs w:val="24"/>
              </w:rPr>
            </w:pPr>
            <w:r w:rsidRPr="00941D11">
              <w:rPr>
                <w:rFonts w:ascii="宋体" w:hAnsi="宋体" w:cs="宋体" w:hint="eastAsia"/>
                <w:b/>
                <w:bCs/>
                <w:color w:val="000000"/>
                <w:kern w:val="0"/>
                <w:sz w:val="24"/>
                <w:szCs w:val="24"/>
              </w:rPr>
              <w:t>服务内容</w:t>
            </w:r>
          </w:p>
        </w:tc>
        <w:tc>
          <w:tcPr>
            <w:tcW w:w="1559" w:type="dxa"/>
            <w:shd w:val="clear" w:color="000000" w:fill="D9D9D9"/>
            <w:vAlign w:val="center"/>
          </w:tcPr>
          <w:p w:rsidR="00046CDE" w:rsidRPr="00941D11" w:rsidRDefault="00046CDE">
            <w:pPr>
              <w:widowControl/>
              <w:spacing w:line="360" w:lineRule="auto"/>
              <w:jc w:val="center"/>
              <w:rPr>
                <w:rFonts w:ascii="宋体" w:cs="宋体"/>
                <w:b/>
                <w:bCs/>
                <w:color w:val="000000"/>
                <w:kern w:val="0"/>
                <w:sz w:val="24"/>
                <w:szCs w:val="24"/>
              </w:rPr>
            </w:pPr>
            <w:r w:rsidRPr="00941D11">
              <w:rPr>
                <w:rFonts w:ascii="宋体" w:hAnsi="宋体" w:cs="宋体" w:hint="eastAsia"/>
                <w:b/>
                <w:bCs/>
                <w:color w:val="000000"/>
                <w:kern w:val="0"/>
                <w:sz w:val="24"/>
                <w:szCs w:val="24"/>
              </w:rPr>
              <w:t>交付成果</w:t>
            </w:r>
          </w:p>
        </w:tc>
        <w:tc>
          <w:tcPr>
            <w:tcW w:w="709" w:type="dxa"/>
            <w:shd w:val="clear" w:color="000000" w:fill="D9D9D9"/>
            <w:vAlign w:val="center"/>
          </w:tcPr>
          <w:p w:rsidR="00046CDE" w:rsidRPr="00941D11" w:rsidRDefault="00046CDE">
            <w:pPr>
              <w:widowControl/>
              <w:spacing w:line="360" w:lineRule="auto"/>
              <w:jc w:val="center"/>
              <w:rPr>
                <w:rFonts w:ascii="宋体" w:cs="宋体"/>
                <w:b/>
                <w:bCs/>
                <w:color w:val="000000"/>
                <w:kern w:val="0"/>
                <w:sz w:val="24"/>
                <w:szCs w:val="24"/>
              </w:rPr>
            </w:pPr>
            <w:r w:rsidRPr="00941D11">
              <w:rPr>
                <w:rFonts w:ascii="宋体" w:hAnsi="宋体" w:cs="宋体" w:hint="eastAsia"/>
                <w:b/>
                <w:bCs/>
                <w:color w:val="000000"/>
                <w:kern w:val="0"/>
                <w:sz w:val="24"/>
                <w:szCs w:val="24"/>
              </w:rPr>
              <w:t>服务频率</w:t>
            </w:r>
          </w:p>
        </w:tc>
        <w:tc>
          <w:tcPr>
            <w:tcW w:w="1098" w:type="dxa"/>
            <w:shd w:val="clear" w:color="000000" w:fill="D9D9D9"/>
            <w:vAlign w:val="center"/>
          </w:tcPr>
          <w:p w:rsidR="00046CDE" w:rsidRPr="00941D11" w:rsidRDefault="00046CDE">
            <w:pPr>
              <w:widowControl/>
              <w:spacing w:line="360" w:lineRule="auto"/>
              <w:jc w:val="center"/>
              <w:rPr>
                <w:rFonts w:ascii="宋体" w:cs="宋体"/>
                <w:b/>
                <w:bCs/>
                <w:color w:val="000000"/>
                <w:kern w:val="0"/>
                <w:sz w:val="24"/>
                <w:szCs w:val="24"/>
              </w:rPr>
            </w:pPr>
            <w:r w:rsidRPr="00941D11">
              <w:rPr>
                <w:rFonts w:ascii="宋体" w:hAnsi="宋体" w:cs="宋体" w:hint="eastAsia"/>
                <w:b/>
                <w:bCs/>
                <w:color w:val="000000"/>
                <w:kern w:val="0"/>
                <w:sz w:val="24"/>
                <w:szCs w:val="24"/>
              </w:rPr>
              <w:t>报价</w:t>
            </w: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等保资产分析服务</w:t>
            </w:r>
          </w:p>
        </w:tc>
        <w:tc>
          <w:tcPr>
            <w:tcW w:w="2976" w:type="dxa"/>
            <w:vAlign w:val="center"/>
          </w:tcPr>
          <w:p w:rsidR="00046CDE" w:rsidRPr="00941D11" w:rsidRDefault="00046CDE">
            <w:pPr>
              <w:widowControl/>
              <w:spacing w:line="360" w:lineRule="auto"/>
              <w:jc w:val="left"/>
              <w:textAlignment w:val="center"/>
              <w:rPr>
                <w:rFonts w:ascii="宋体" w:cs="Times New Roman"/>
                <w:color w:val="000000"/>
                <w:kern w:val="0"/>
                <w:sz w:val="24"/>
                <w:szCs w:val="24"/>
              </w:rPr>
            </w:pPr>
            <w:r w:rsidRPr="00941D11">
              <w:rPr>
                <w:rFonts w:ascii="宋体" w:hAnsi="宋体" w:cs="宋体" w:hint="eastAsia"/>
                <w:sz w:val="24"/>
                <w:szCs w:val="24"/>
              </w:rPr>
              <w:t>对信息系统进行调研和梳理，编制信息系统详细描述文档。</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《资产调研收集表》</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定级咨询服务</w:t>
            </w:r>
          </w:p>
        </w:tc>
        <w:tc>
          <w:tcPr>
            <w:tcW w:w="2976" w:type="dxa"/>
          </w:tcPr>
          <w:p w:rsidR="00046CDE" w:rsidRPr="00941D11" w:rsidRDefault="00046CDE">
            <w:pPr>
              <w:widowControl/>
              <w:spacing w:line="360" w:lineRule="auto"/>
              <w:jc w:val="left"/>
              <w:textAlignment w:val="center"/>
              <w:rPr>
                <w:rFonts w:ascii="宋体" w:cs="宋体"/>
                <w:sz w:val="24"/>
                <w:szCs w:val="24"/>
              </w:rPr>
            </w:pPr>
            <w:r w:rsidRPr="00941D11">
              <w:rPr>
                <w:rFonts w:cs="宋体" w:hint="eastAsia"/>
              </w:rPr>
              <w:t>协助医院完成撰写信息系统定级报告，并组织专家评审（二级以上）。</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《定级报告》《专家定级论证报告》</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等保备案咨询</w:t>
            </w:r>
          </w:p>
        </w:tc>
        <w:tc>
          <w:tcPr>
            <w:tcW w:w="2976" w:type="dxa"/>
          </w:tcPr>
          <w:p w:rsidR="00046CDE" w:rsidRPr="00941D11" w:rsidRDefault="00046CDE">
            <w:pPr>
              <w:widowControl/>
              <w:spacing w:line="360" w:lineRule="auto"/>
              <w:jc w:val="left"/>
              <w:textAlignment w:val="center"/>
              <w:rPr>
                <w:rFonts w:ascii="宋体" w:cs="宋体"/>
                <w:sz w:val="24"/>
                <w:szCs w:val="24"/>
              </w:rPr>
            </w:pPr>
            <w:r w:rsidRPr="00941D11">
              <w:rPr>
                <w:rFonts w:cs="宋体" w:hint="eastAsia"/>
              </w:rPr>
              <w:t>协助医院准备备案材料，直到完成备案工作。</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《信息系统安全等级保护备案表》</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等保风险分析服务</w:t>
            </w:r>
          </w:p>
        </w:tc>
        <w:tc>
          <w:tcPr>
            <w:tcW w:w="2976" w:type="dxa"/>
            <w:vAlign w:val="center"/>
          </w:tcPr>
          <w:p w:rsidR="00046CDE" w:rsidRPr="00941D11" w:rsidRDefault="00046CDE">
            <w:pPr>
              <w:widowControl/>
              <w:spacing w:line="360" w:lineRule="auto"/>
              <w:jc w:val="left"/>
              <w:textAlignment w:val="center"/>
              <w:rPr>
                <w:rFonts w:ascii="宋体" w:cs="Times New Roman"/>
                <w:color w:val="000000"/>
                <w:kern w:val="0"/>
                <w:sz w:val="24"/>
                <w:szCs w:val="24"/>
              </w:rPr>
            </w:pPr>
            <w:r w:rsidRPr="00941D11">
              <w:rPr>
                <w:rFonts w:ascii="宋体" w:hAnsi="宋体" w:cs="宋体" w:hint="eastAsia"/>
                <w:sz w:val="24"/>
                <w:szCs w:val="24"/>
              </w:rPr>
              <w:t>分析信息系统的安全风险以及基线差距。</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《信息系统等级保护风险评估报告》</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等保差距评估服务</w:t>
            </w:r>
          </w:p>
        </w:tc>
        <w:tc>
          <w:tcPr>
            <w:tcW w:w="2976" w:type="dxa"/>
            <w:vAlign w:val="center"/>
          </w:tcPr>
          <w:p w:rsidR="00046CDE" w:rsidRPr="00941D11" w:rsidRDefault="00046CDE">
            <w:pPr>
              <w:widowControl/>
              <w:spacing w:line="360" w:lineRule="auto"/>
              <w:textAlignment w:val="center"/>
              <w:rPr>
                <w:rFonts w:ascii="宋体" w:cs="Times New Roman"/>
                <w:color w:val="000000"/>
                <w:kern w:val="0"/>
                <w:sz w:val="24"/>
                <w:szCs w:val="24"/>
              </w:rPr>
            </w:pPr>
            <w:r w:rsidRPr="00941D11">
              <w:rPr>
                <w:rFonts w:ascii="宋体" w:cs="宋体" w:hint="eastAsia"/>
                <w:color w:val="000000"/>
                <w:kern w:val="0"/>
                <w:sz w:val="24"/>
                <w:szCs w:val="24"/>
              </w:rPr>
              <w:t>依照等级保护要求从管理和技术两个层面找出存在的问题并进行差距分析。</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《信息系统等级保护差距评估报告》</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等保整改建设服务</w:t>
            </w:r>
          </w:p>
        </w:tc>
        <w:tc>
          <w:tcPr>
            <w:tcW w:w="2976" w:type="dxa"/>
            <w:vAlign w:val="center"/>
          </w:tcPr>
          <w:p w:rsidR="00046CDE" w:rsidRPr="00941D11" w:rsidRDefault="00046CDE">
            <w:pPr>
              <w:tabs>
                <w:tab w:val="left" w:pos="489"/>
                <w:tab w:val="center" w:pos="4677"/>
              </w:tabs>
              <w:spacing w:line="360" w:lineRule="auto"/>
              <w:jc w:val="left"/>
              <w:rPr>
                <w:rFonts w:ascii="宋体" w:cs="Times New Roman"/>
                <w:color w:val="000000"/>
                <w:kern w:val="0"/>
                <w:sz w:val="24"/>
                <w:szCs w:val="24"/>
              </w:rPr>
            </w:pPr>
            <w:r w:rsidRPr="00941D11">
              <w:rPr>
                <w:rFonts w:ascii="宋体" w:hAnsi="宋体" w:cs="宋体" w:hint="eastAsia"/>
                <w:sz w:val="24"/>
                <w:szCs w:val="24"/>
              </w:rPr>
              <w:t>提供信息安全等级保护建设详细方案，</w:t>
            </w:r>
            <w:r w:rsidRPr="00941D11">
              <w:rPr>
                <w:rFonts w:cs="宋体" w:hint="eastAsia"/>
                <w:sz w:val="24"/>
                <w:szCs w:val="24"/>
              </w:rPr>
              <w:t>协助建设单位完成建设整改工作。</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《信息安全等级保护建设整改建议》</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等保安全加固服务</w:t>
            </w:r>
          </w:p>
        </w:tc>
        <w:tc>
          <w:tcPr>
            <w:tcW w:w="2976" w:type="dxa"/>
            <w:vAlign w:val="center"/>
          </w:tcPr>
          <w:p w:rsidR="00046CDE" w:rsidRPr="00941D11" w:rsidRDefault="00046CDE">
            <w:pPr>
              <w:widowControl/>
              <w:spacing w:line="360" w:lineRule="auto"/>
              <w:jc w:val="left"/>
              <w:rPr>
                <w:rFonts w:ascii="宋体" w:cs="Times New Roman"/>
                <w:color w:val="000000"/>
                <w:kern w:val="0"/>
                <w:sz w:val="24"/>
                <w:szCs w:val="24"/>
              </w:rPr>
            </w:pPr>
            <w:r w:rsidRPr="00941D11">
              <w:rPr>
                <w:rFonts w:ascii="宋体" w:cs="宋体" w:hint="eastAsia"/>
                <w:color w:val="000000"/>
                <w:kern w:val="0"/>
                <w:sz w:val="24"/>
                <w:szCs w:val="24"/>
              </w:rPr>
              <w:t>针对风险分析与差距评估的结果，实施安全策略优化辅导，提供主机、数据库、应用的安全加固建议。</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sz w:val="24"/>
                <w:szCs w:val="24"/>
              </w:rPr>
              <w:t>《</w:t>
            </w:r>
            <w:r w:rsidRPr="00941D11">
              <w:rPr>
                <w:rFonts w:ascii="宋体" w:hAnsi="宋体" w:cs="宋体" w:hint="eastAsia"/>
                <w:color w:val="000000"/>
                <w:kern w:val="0"/>
                <w:sz w:val="24"/>
                <w:szCs w:val="24"/>
              </w:rPr>
              <w:t>等级保护安全加固建议报告</w:t>
            </w:r>
            <w:r w:rsidRPr="00941D11">
              <w:rPr>
                <w:rFonts w:ascii="宋体" w:hAnsi="宋体" w:cs="宋体" w:hint="eastAsia"/>
                <w:sz w:val="24"/>
                <w:szCs w:val="24"/>
              </w:rPr>
              <w:t>》</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等保制度建设服务</w:t>
            </w:r>
          </w:p>
        </w:tc>
        <w:tc>
          <w:tcPr>
            <w:tcW w:w="2976" w:type="dxa"/>
            <w:vAlign w:val="center"/>
          </w:tcPr>
          <w:p w:rsidR="00046CDE" w:rsidRPr="00941D11" w:rsidRDefault="00046CDE">
            <w:pPr>
              <w:widowControl/>
              <w:spacing w:line="360" w:lineRule="auto"/>
              <w:textAlignment w:val="center"/>
              <w:rPr>
                <w:rFonts w:ascii="宋体" w:cs="Times New Roman"/>
                <w:color w:val="000000"/>
                <w:kern w:val="0"/>
                <w:sz w:val="24"/>
                <w:szCs w:val="24"/>
              </w:rPr>
            </w:pPr>
            <w:r w:rsidRPr="00941D11">
              <w:rPr>
                <w:rFonts w:ascii="宋体" w:cs="宋体" w:hint="eastAsia"/>
                <w:color w:val="000000"/>
                <w:kern w:val="0"/>
                <w:sz w:val="24"/>
                <w:szCs w:val="24"/>
              </w:rPr>
              <w:t>协助医院对安全管理制度建设。</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sz w:val="24"/>
                <w:szCs w:val="24"/>
              </w:rPr>
              <w:t>《等级保护安全管理制度汇编》</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安全策略复查服务</w:t>
            </w:r>
          </w:p>
        </w:tc>
        <w:tc>
          <w:tcPr>
            <w:tcW w:w="2976" w:type="dxa"/>
            <w:vAlign w:val="center"/>
          </w:tcPr>
          <w:p w:rsidR="00046CDE" w:rsidRPr="00941D11" w:rsidRDefault="00046CDE">
            <w:pPr>
              <w:widowControl/>
              <w:spacing w:line="360" w:lineRule="auto"/>
              <w:textAlignment w:val="center"/>
              <w:rPr>
                <w:rFonts w:ascii="宋体" w:cs="Times New Roman"/>
                <w:color w:val="000000"/>
                <w:kern w:val="0"/>
                <w:sz w:val="24"/>
                <w:szCs w:val="24"/>
              </w:rPr>
            </w:pPr>
            <w:r w:rsidRPr="00941D11">
              <w:rPr>
                <w:rFonts w:ascii="宋体" w:cs="宋体" w:hint="eastAsia"/>
                <w:color w:val="000000"/>
                <w:kern w:val="0"/>
                <w:sz w:val="24"/>
                <w:szCs w:val="24"/>
              </w:rPr>
              <w:t>针对加固前后的系统脆弱性进行复查。</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《等级保护安全策略复查报告》</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FF"/>
                <w:kern w:val="0"/>
                <w:sz w:val="24"/>
                <w:szCs w:val="24"/>
              </w:rPr>
            </w:pPr>
            <w:r w:rsidRPr="00941D11">
              <w:rPr>
                <w:rFonts w:cs="宋体" w:hint="eastAsia"/>
              </w:rPr>
              <w:t>网站云监测服务</w:t>
            </w:r>
          </w:p>
        </w:tc>
        <w:tc>
          <w:tcPr>
            <w:tcW w:w="2976" w:type="dxa"/>
            <w:vAlign w:val="center"/>
          </w:tcPr>
          <w:p w:rsidR="00046CDE" w:rsidRPr="00941D11" w:rsidRDefault="00046CDE">
            <w:pPr>
              <w:widowControl/>
              <w:spacing w:line="360" w:lineRule="auto"/>
              <w:textAlignment w:val="center"/>
              <w:rPr>
                <w:rFonts w:ascii="宋体" w:cs="Times New Roman"/>
                <w:color w:val="0000FF"/>
                <w:kern w:val="0"/>
                <w:sz w:val="24"/>
                <w:szCs w:val="24"/>
              </w:rPr>
            </w:pPr>
            <w:r w:rsidRPr="00941D11">
              <w:rPr>
                <w:rFonts w:cs="宋体" w:hint="eastAsia"/>
              </w:rPr>
              <w:t>网站云监测服务</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cs="宋体" w:hint="eastAsia"/>
              </w:rPr>
              <w:t>网站云监测服务</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年</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等保测评辅助服务</w:t>
            </w:r>
          </w:p>
        </w:tc>
        <w:tc>
          <w:tcPr>
            <w:tcW w:w="2976" w:type="dxa"/>
            <w:vAlign w:val="center"/>
          </w:tcPr>
          <w:p w:rsidR="00046CDE" w:rsidRPr="00941D11" w:rsidRDefault="00046CDE">
            <w:pPr>
              <w:widowControl/>
              <w:spacing w:line="360" w:lineRule="auto"/>
              <w:textAlignment w:val="center"/>
              <w:rPr>
                <w:rFonts w:ascii="宋体" w:cs="Times New Roman"/>
                <w:color w:val="000000"/>
                <w:kern w:val="0"/>
                <w:sz w:val="24"/>
                <w:szCs w:val="24"/>
              </w:rPr>
            </w:pPr>
            <w:r w:rsidRPr="00941D11">
              <w:rPr>
                <w:rFonts w:cs="宋体" w:hint="eastAsia"/>
                <w:sz w:val="24"/>
                <w:szCs w:val="24"/>
              </w:rPr>
              <w:t>指导医院配合测评中心开展等级测评工作。</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相关测评材料</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次</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r w:rsidR="00046CDE" w:rsidRPr="00941D11">
        <w:trPr>
          <w:trHeight w:val="430"/>
          <w:tblHeader/>
          <w:jc w:val="center"/>
        </w:trPr>
        <w:tc>
          <w:tcPr>
            <w:tcW w:w="640" w:type="dxa"/>
            <w:noWrap/>
            <w:vAlign w:val="center"/>
          </w:tcPr>
          <w:p w:rsidR="00046CDE" w:rsidRPr="00941D11" w:rsidRDefault="00046CDE">
            <w:pPr>
              <w:widowControl/>
              <w:numPr>
                <w:ilvl w:val="0"/>
                <w:numId w:val="2"/>
              </w:numPr>
              <w:spacing w:line="360" w:lineRule="auto"/>
              <w:jc w:val="left"/>
              <w:rPr>
                <w:rFonts w:cs="宋体"/>
                <w:color w:val="000000"/>
                <w:kern w:val="0"/>
                <w:sz w:val="24"/>
                <w:szCs w:val="24"/>
              </w:rPr>
            </w:pPr>
          </w:p>
        </w:tc>
        <w:tc>
          <w:tcPr>
            <w:tcW w:w="1368"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应急响应服务</w:t>
            </w:r>
          </w:p>
        </w:tc>
        <w:tc>
          <w:tcPr>
            <w:tcW w:w="2976" w:type="dxa"/>
            <w:vAlign w:val="center"/>
          </w:tcPr>
          <w:p w:rsidR="00046CDE" w:rsidRPr="00941D11" w:rsidRDefault="00046CDE">
            <w:pPr>
              <w:widowControl/>
              <w:spacing w:line="360" w:lineRule="auto"/>
              <w:textAlignment w:val="center"/>
              <w:rPr>
                <w:rFonts w:cs="Times New Roman"/>
                <w:sz w:val="24"/>
                <w:szCs w:val="24"/>
              </w:rPr>
            </w:pPr>
            <w:r w:rsidRPr="00941D11">
              <w:rPr>
                <w:rFonts w:cs="宋体" w:hint="eastAsia"/>
                <w:sz w:val="24"/>
                <w:szCs w:val="24"/>
              </w:rPr>
              <w:t>在项目完成后年度内提供安全应急响应服务</w:t>
            </w:r>
          </w:p>
        </w:tc>
        <w:tc>
          <w:tcPr>
            <w:tcW w:w="1559" w:type="dxa"/>
            <w:vAlign w:val="center"/>
          </w:tcPr>
          <w:p w:rsidR="00046CDE" w:rsidRPr="00941D11" w:rsidRDefault="00046CDE">
            <w:pPr>
              <w:widowControl/>
              <w:spacing w:line="360" w:lineRule="auto"/>
              <w:textAlignment w:val="center"/>
              <w:rPr>
                <w:rFonts w:ascii="宋体" w:cs="宋体"/>
                <w:color w:val="000000"/>
                <w:kern w:val="0"/>
                <w:sz w:val="24"/>
                <w:szCs w:val="24"/>
              </w:rPr>
            </w:pPr>
            <w:r w:rsidRPr="00941D11">
              <w:rPr>
                <w:rFonts w:ascii="宋体" w:hAnsi="宋体" w:cs="宋体" w:hint="eastAsia"/>
                <w:color w:val="000000"/>
                <w:kern w:val="0"/>
                <w:sz w:val="24"/>
                <w:szCs w:val="24"/>
              </w:rPr>
              <w:t>《应急响应报告》（若有安全事件）</w:t>
            </w:r>
          </w:p>
        </w:tc>
        <w:tc>
          <w:tcPr>
            <w:tcW w:w="709" w:type="dxa"/>
            <w:vAlign w:val="center"/>
          </w:tcPr>
          <w:p w:rsidR="00046CDE" w:rsidRPr="00941D11" w:rsidRDefault="00046CDE">
            <w:pPr>
              <w:widowControl/>
              <w:spacing w:line="360" w:lineRule="auto"/>
              <w:jc w:val="left"/>
              <w:rPr>
                <w:rFonts w:ascii="宋体" w:cs="宋体"/>
                <w:b/>
                <w:bCs/>
                <w:color w:val="000000"/>
                <w:kern w:val="0"/>
                <w:sz w:val="24"/>
                <w:szCs w:val="24"/>
              </w:rPr>
            </w:pPr>
            <w:r w:rsidRPr="00941D11">
              <w:rPr>
                <w:rFonts w:ascii="宋体" w:hAnsi="宋体" w:cs="宋体"/>
                <w:b/>
                <w:bCs/>
                <w:color w:val="000000"/>
                <w:kern w:val="0"/>
                <w:sz w:val="24"/>
                <w:szCs w:val="24"/>
              </w:rPr>
              <w:t>1</w:t>
            </w:r>
            <w:r w:rsidRPr="00941D11">
              <w:rPr>
                <w:rFonts w:ascii="宋体" w:hAnsi="宋体" w:cs="宋体" w:hint="eastAsia"/>
                <w:b/>
                <w:bCs/>
                <w:color w:val="000000"/>
                <w:kern w:val="0"/>
                <w:sz w:val="24"/>
                <w:szCs w:val="24"/>
              </w:rPr>
              <w:t>年</w:t>
            </w:r>
          </w:p>
        </w:tc>
        <w:tc>
          <w:tcPr>
            <w:tcW w:w="1098" w:type="dxa"/>
            <w:vAlign w:val="center"/>
          </w:tcPr>
          <w:p w:rsidR="00046CDE" w:rsidRPr="00941D11" w:rsidRDefault="00046CDE">
            <w:pPr>
              <w:widowControl/>
              <w:spacing w:line="360" w:lineRule="auto"/>
              <w:jc w:val="left"/>
              <w:rPr>
                <w:rFonts w:ascii="宋体" w:cs="宋体"/>
                <w:b/>
                <w:bCs/>
                <w:color w:val="000000"/>
                <w:kern w:val="0"/>
                <w:sz w:val="24"/>
                <w:szCs w:val="24"/>
              </w:rPr>
            </w:pPr>
          </w:p>
        </w:tc>
      </w:tr>
    </w:tbl>
    <w:p w:rsidR="00046CDE" w:rsidRDefault="00046CDE">
      <w:pPr>
        <w:rPr>
          <w:rFonts w:ascii="宋体" w:cs="Times New Roman"/>
          <w:sz w:val="24"/>
          <w:szCs w:val="24"/>
        </w:rPr>
      </w:pPr>
    </w:p>
    <w:p w:rsidR="00046CDE" w:rsidRDefault="00046CDE">
      <w:pPr>
        <w:rPr>
          <w:rFonts w:ascii="宋体" w:cs="Times New Roman"/>
          <w:sz w:val="24"/>
          <w:szCs w:val="24"/>
        </w:rPr>
      </w:pPr>
      <w:r>
        <w:rPr>
          <w:rFonts w:ascii="宋体" w:hAnsi="宋体" w:cs="宋体"/>
          <w:sz w:val="24"/>
          <w:szCs w:val="24"/>
        </w:rPr>
        <w:t>4</w:t>
      </w:r>
      <w:r>
        <w:rPr>
          <w:rFonts w:ascii="宋体" w:hAnsi="宋体" w:cs="宋体" w:hint="eastAsia"/>
          <w:sz w:val="24"/>
          <w:szCs w:val="24"/>
        </w:rPr>
        <w:t>、资质要求</w:t>
      </w:r>
    </w:p>
    <w:p w:rsidR="00046CDE" w:rsidRDefault="00046CDE">
      <w:pPr>
        <w:rPr>
          <w:rFonts w:ascii="宋体" w:cs="Times New Roman"/>
          <w:sz w:val="24"/>
          <w:szCs w:val="24"/>
        </w:rPr>
      </w:pPr>
      <w:r>
        <w:rPr>
          <w:rFonts w:ascii="宋体" w:hAnsi="宋体" w:cs="宋体"/>
          <w:sz w:val="24"/>
          <w:szCs w:val="24"/>
        </w:rPr>
        <w:t>4.1.</w:t>
      </w:r>
      <w:r>
        <w:rPr>
          <w:rFonts w:ascii="宋体" w:hAnsi="宋体" w:cs="宋体" w:hint="eastAsia"/>
          <w:sz w:val="24"/>
          <w:szCs w:val="24"/>
        </w:rPr>
        <w:t>法人授权委托书（原件）；</w:t>
      </w:r>
    </w:p>
    <w:p w:rsidR="00046CDE" w:rsidRDefault="00046CDE">
      <w:pPr>
        <w:rPr>
          <w:rFonts w:ascii="宋体" w:cs="Times New Roman"/>
          <w:sz w:val="24"/>
          <w:szCs w:val="24"/>
        </w:rPr>
      </w:pPr>
      <w:r>
        <w:rPr>
          <w:rFonts w:ascii="宋体" w:hAnsi="宋体" w:cs="宋体"/>
          <w:sz w:val="24"/>
          <w:szCs w:val="24"/>
        </w:rPr>
        <w:t>4.2.</w:t>
      </w:r>
      <w:r>
        <w:rPr>
          <w:rFonts w:ascii="宋体" w:hAnsi="宋体" w:cs="宋体" w:hint="eastAsia"/>
          <w:sz w:val="24"/>
          <w:szCs w:val="24"/>
        </w:rPr>
        <w:t>营业执照（副本复印件加盖公章）；</w:t>
      </w:r>
    </w:p>
    <w:p w:rsidR="00046CDE" w:rsidRDefault="00046CDE">
      <w:pPr>
        <w:rPr>
          <w:rFonts w:ascii="宋体" w:cs="Times New Roman"/>
          <w:sz w:val="24"/>
          <w:szCs w:val="24"/>
        </w:rPr>
      </w:pPr>
      <w:r>
        <w:rPr>
          <w:rFonts w:ascii="宋体" w:hAnsi="宋体" w:cs="宋体"/>
          <w:sz w:val="24"/>
          <w:szCs w:val="24"/>
        </w:rPr>
        <w:t>4.3.</w:t>
      </w:r>
      <w:r>
        <w:rPr>
          <w:rFonts w:ascii="宋体" w:hAnsi="宋体" w:cs="宋体" w:hint="eastAsia"/>
          <w:sz w:val="24"/>
          <w:szCs w:val="24"/>
        </w:rPr>
        <w:t>服务原厂商为国家级</w:t>
      </w:r>
      <w:r>
        <w:rPr>
          <w:rFonts w:ascii="宋体" w:hAnsi="宋体" w:cs="宋体"/>
          <w:sz w:val="24"/>
          <w:szCs w:val="24"/>
        </w:rPr>
        <w:t>CNCERT/CC</w:t>
      </w:r>
      <w:r>
        <w:rPr>
          <w:rFonts w:ascii="宋体" w:hAnsi="宋体" w:cs="宋体" w:hint="eastAsia"/>
          <w:sz w:val="24"/>
          <w:szCs w:val="24"/>
        </w:rPr>
        <w:t>网络安全应急服务支撑单位。</w:t>
      </w:r>
    </w:p>
    <w:p w:rsidR="00046CDE" w:rsidRDefault="00046CDE">
      <w:pPr>
        <w:rPr>
          <w:rFonts w:ascii="宋体" w:cs="Times New Roman"/>
          <w:sz w:val="24"/>
          <w:szCs w:val="24"/>
        </w:rPr>
      </w:pPr>
      <w:r>
        <w:rPr>
          <w:rFonts w:ascii="宋体" w:hAnsi="宋体" w:cs="宋体"/>
          <w:sz w:val="24"/>
          <w:szCs w:val="24"/>
        </w:rPr>
        <w:t xml:space="preserve">4.4. </w:t>
      </w:r>
      <w:r>
        <w:rPr>
          <w:rFonts w:ascii="宋体" w:hAnsi="宋体" w:cs="宋体" w:hint="eastAsia"/>
          <w:sz w:val="24"/>
          <w:szCs w:val="24"/>
        </w:rPr>
        <w:t>服务原厂商具备国家信息安全测评信息安全服务资质证书（安全工程类）三级（含）以上资质。</w:t>
      </w:r>
    </w:p>
    <w:p w:rsidR="00046CDE" w:rsidRDefault="00046CDE">
      <w:pPr>
        <w:rPr>
          <w:rFonts w:ascii="宋体" w:cs="Times New Roman"/>
          <w:sz w:val="24"/>
          <w:szCs w:val="24"/>
        </w:rPr>
      </w:pPr>
      <w:r>
        <w:rPr>
          <w:rFonts w:ascii="宋体" w:hAnsi="宋体" w:cs="宋体"/>
          <w:sz w:val="24"/>
          <w:szCs w:val="24"/>
        </w:rPr>
        <w:t xml:space="preserve">4.5.  </w:t>
      </w:r>
      <w:r>
        <w:rPr>
          <w:rFonts w:ascii="宋体" w:hAnsi="宋体" w:cs="宋体" w:hint="eastAsia"/>
          <w:sz w:val="24"/>
          <w:szCs w:val="24"/>
        </w:rPr>
        <w:t>近三年内同类案例合同或发票复印件</w:t>
      </w:r>
    </w:p>
    <w:p w:rsidR="00046CDE" w:rsidRDefault="00046CDE">
      <w:pPr>
        <w:rPr>
          <w:rFonts w:ascii="宋体" w:cs="Times New Roman"/>
          <w:sz w:val="24"/>
          <w:szCs w:val="24"/>
        </w:rPr>
      </w:pPr>
      <w:r>
        <w:rPr>
          <w:rFonts w:ascii="宋体" w:hAnsi="宋体" w:cs="宋体" w:hint="eastAsia"/>
          <w:sz w:val="24"/>
          <w:szCs w:val="24"/>
        </w:rPr>
        <w:t>注：以上资质和证书：提供复印件须加盖公章并注明与原件一致</w:t>
      </w:r>
    </w:p>
    <w:p w:rsidR="00046CDE" w:rsidRDefault="00046CDE">
      <w:pPr>
        <w:rPr>
          <w:rFonts w:ascii="宋体" w:cs="Times New Roman"/>
          <w:sz w:val="24"/>
          <w:szCs w:val="24"/>
        </w:rPr>
      </w:pPr>
    </w:p>
    <w:p w:rsidR="00046CDE" w:rsidRDefault="00046CDE">
      <w:pPr>
        <w:rPr>
          <w:rFonts w:ascii="Times New Roman" w:hAnsi="Times New Roman" w:cs="Times New Roman"/>
          <w:b/>
          <w:bCs/>
          <w:sz w:val="30"/>
          <w:szCs w:val="30"/>
        </w:rPr>
      </w:pPr>
      <w:r>
        <w:rPr>
          <w:rFonts w:ascii="Times New Roman" w:hAnsi="Times New Roman" w:cs="Times New Roman"/>
          <w:b/>
          <w:bCs/>
          <w:sz w:val="30"/>
          <w:szCs w:val="30"/>
        </w:rPr>
        <w:t>UPS</w:t>
      </w:r>
      <w:r>
        <w:rPr>
          <w:rFonts w:ascii="Times New Roman" w:hAnsi="Times New Roman" w:cs="宋体" w:hint="eastAsia"/>
          <w:b/>
          <w:bCs/>
          <w:sz w:val="30"/>
          <w:szCs w:val="30"/>
        </w:rPr>
        <w:t>蓄电池</w:t>
      </w:r>
    </w:p>
    <w:p w:rsidR="00046CDE" w:rsidRDefault="00046CDE">
      <w:pPr>
        <w:rPr>
          <w:rFonts w:ascii="宋体" w:cs="Times New Roman"/>
          <w:sz w:val="24"/>
          <w:szCs w:val="24"/>
        </w:rPr>
      </w:pPr>
      <w:r>
        <w:rPr>
          <w:rFonts w:ascii="宋体" w:hAnsi="宋体" w:cs="宋体" w:hint="eastAsia"/>
          <w:sz w:val="24"/>
          <w:szCs w:val="24"/>
        </w:rPr>
        <w:t>参数要求：</w:t>
      </w:r>
      <w:r>
        <w:rPr>
          <w:rFonts w:ascii="宋体" w:hAnsi="宋体" w:cs="宋体"/>
          <w:sz w:val="24"/>
          <w:szCs w:val="24"/>
        </w:rPr>
        <w:t>12V/120AH</w:t>
      </w:r>
      <w:r>
        <w:rPr>
          <w:rFonts w:ascii="宋体" w:hAnsi="宋体" w:cs="宋体" w:hint="eastAsia"/>
          <w:sz w:val="24"/>
          <w:szCs w:val="24"/>
        </w:rPr>
        <w:t>，胶体电池</w:t>
      </w:r>
    </w:p>
    <w:p w:rsidR="00046CDE" w:rsidRDefault="00046CDE">
      <w:pPr>
        <w:rPr>
          <w:rFonts w:ascii="宋体" w:cs="Times New Roman"/>
          <w:sz w:val="24"/>
          <w:szCs w:val="24"/>
        </w:rPr>
      </w:pPr>
      <w:r>
        <w:rPr>
          <w:rFonts w:ascii="宋体" w:hAnsi="宋体" w:cs="宋体" w:hint="eastAsia"/>
          <w:sz w:val="24"/>
          <w:szCs w:val="24"/>
        </w:rPr>
        <w:t>服务要求：三年免费维保，故障响应时间：</w:t>
      </w:r>
      <w:r>
        <w:rPr>
          <w:rFonts w:ascii="宋体" w:hAnsi="宋体" w:cs="宋体"/>
          <w:sz w:val="24"/>
          <w:szCs w:val="24"/>
        </w:rPr>
        <w:t>2</w:t>
      </w:r>
      <w:r>
        <w:rPr>
          <w:rFonts w:ascii="宋体" w:hAnsi="宋体" w:cs="宋体" w:hint="eastAsia"/>
          <w:sz w:val="24"/>
          <w:szCs w:val="24"/>
        </w:rPr>
        <w:t>小时内上门。三年内每个季度上门巡检至少一次，并提供巡检报告。</w:t>
      </w:r>
    </w:p>
    <w:p w:rsidR="00046CDE" w:rsidRDefault="00046CDE">
      <w:pPr>
        <w:rPr>
          <w:rFonts w:ascii="宋体" w:cs="Times New Roman"/>
          <w:sz w:val="24"/>
          <w:szCs w:val="24"/>
        </w:rPr>
      </w:pPr>
      <w:r>
        <w:rPr>
          <w:rFonts w:ascii="宋体" w:hAnsi="宋体" w:cs="宋体" w:hint="eastAsia"/>
          <w:sz w:val="24"/>
          <w:szCs w:val="24"/>
        </w:rPr>
        <w:t>施工要求：不影响现有设备运行，零中断。</w:t>
      </w:r>
    </w:p>
    <w:p w:rsidR="00046CDE" w:rsidRDefault="00046CDE">
      <w:pPr>
        <w:rPr>
          <w:rFonts w:ascii="宋体" w:cs="Times New Roman"/>
          <w:sz w:val="24"/>
          <w:szCs w:val="24"/>
        </w:rPr>
      </w:pPr>
      <w:r>
        <w:rPr>
          <w:rFonts w:ascii="宋体" w:hAnsi="宋体" w:cs="宋体" w:hint="eastAsia"/>
          <w:sz w:val="24"/>
          <w:szCs w:val="24"/>
        </w:rPr>
        <w:t>其它要求：本次费用包含更换电池连接线及电池开关、布线等施工费用、包含运输及货物搬运费。供货商需自行负责收货及将货物搬运到业主单位</w:t>
      </w:r>
      <w:r>
        <w:rPr>
          <w:rFonts w:ascii="宋体" w:hAnsi="宋体" w:cs="宋体"/>
          <w:sz w:val="24"/>
          <w:szCs w:val="24"/>
        </w:rPr>
        <w:t>6</w:t>
      </w:r>
      <w:r>
        <w:rPr>
          <w:rFonts w:ascii="宋体" w:hAnsi="宋体" w:cs="宋体" w:hint="eastAsia"/>
          <w:sz w:val="24"/>
          <w:szCs w:val="24"/>
        </w:rPr>
        <w:t>楼机房进行安装。</w:t>
      </w:r>
    </w:p>
    <w:p w:rsidR="00046CDE" w:rsidRDefault="00046CDE">
      <w:pPr>
        <w:rPr>
          <w:rFonts w:ascii="宋体" w:cs="Times New Roman"/>
          <w:sz w:val="24"/>
          <w:szCs w:val="24"/>
        </w:rPr>
      </w:pPr>
      <w:r>
        <w:rPr>
          <w:rFonts w:ascii="宋体" w:hAnsi="宋体" w:cs="宋体" w:hint="eastAsia"/>
          <w:sz w:val="24"/>
          <w:szCs w:val="24"/>
        </w:rPr>
        <w:t>提供近三年内同类产品销售合同或发票复印件</w:t>
      </w:r>
    </w:p>
    <w:p w:rsidR="00046CDE" w:rsidRDefault="00046CDE">
      <w:pPr>
        <w:rPr>
          <w:rFonts w:ascii="宋体" w:cs="Times New Roman"/>
          <w:sz w:val="24"/>
          <w:szCs w:val="24"/>
        </w:rPr>
      </w:pPr>
    </w:p>
    <w:p w:rsidR="00046CDE" w:rsidRDefault="00046CDE">
      <w:pPr>
        <w:rPr>
          <w:rFonts w:ascii="Times New Roman" w:hAnsi="Times New Roman" w:cs="Times New Roman"/>
          <w:b/>
          <w:bCs/>
          <w:sz w:val="30"/>
          <w:szCs w:val="30"/>
        </w:rPr>
      </w:pPr>
      <w:r>
        <w:rPr>
          <w:rFonts w:ascii="Times New Roman" w:hAnsi="Times New Roman" w:cs="宋体" w:hint="eastAsia"/>
          <w:b/>
          <w:bCs/>
          <w:sz w:val="30"/>
          <w:szCs w:val="30"/>
        </w:rPr>
        <w:t>院感系统</w:t>
      </w:r>
      <w:r>
        <w:rPr>
          <w:rFonts w:ascii="Times New Roman" w:hAnsi="Times New Roman" w:cs="Times New Roman"/>
          <w:b/>
          <w:bCs/>
          <w:sz w:val="30"/>
          <w:szCs w:val="30"/>
        </w:rPr>
        <w:t>2020</w:t>
      </w:r>
      <w:r>
        <w:rPr>
          <w:rFonts w:ascii="Times New Roman" w:hAnsi="Times New Roman" w:cs="宋体" w:hint="eastAsia"/>
          <w:b/>
          <w:bCs/>
          <w:sz w:val="30"/>
          <w:szCs w:val="30"/>
        </w:rPr>
        <w:t>年维保</w:t>
      </w:r>
    </w:p>
    <w:p w:rsidR="00046CDE" w:rsidRDefault="00046CDE">
      <w:pPr>
        <w:rPr>
          <w:rFonts w:ascii="Times New Roman" w:hAnsi="Times New Roman" w:cs="Times New Roman"/>
        </w:rPr>
      </w:pPr>
      <w:r>
        <w:rPr>
          <w:rFonts w:ascii="Times New Roman" w:hAnsi="Times New Roman" w:cs="宋体" w:hint="eastAsia"/>
        </w:rPr>
        <w:t>保障院内杭州杏林院感系统的正常稳定运行，提供远程技术支持和现场服务。</w:t>
      </w:r>
    </w:p>
    <w:p w:rsidR="00046CDE" w:rsidRDefault="00046CDE">
      <w:pPr>
        <w:rPr>
          <w:rFonts w:ascii="宋体" w:cs="Times New Roman"/>
          <w:sz w:val="24"/>
          <w:szCs w:val="24"/>
        </w:rPr>
      </w:pPr>
      <w:r>
        <w:rPr>
          <w:rFonts w:ascii="宋体" w:hAnsi="宋体" w:cs="宋体" w:hint="eastAsia"/>
          <w:sz w:val="24"/>
          <w:szCs w:val="24"/>
        </w:rPr>
        <w:t>提供近三年内同类产品销售合同或发票复印件</w:t>
      </w:r>
    </w:p>
    <w:p w:rsidR="00046CDE" w:rsidRDefault="00046CDE">
      <w:pPr>
        <w:rPr>
          <w:rFonts w:ascii="Times New Roman" w:hAnsi="Times New Roman" w:cs="Times New Roman"/>
        </w:rPr>
      </w:pPr>
    </w:p>
    <w:p w:rsidR="00046CDE" w:rsidRDefault="00046CDE">
      <w:pPr>
        <w:rPr>
          <w:rFonts w:ascii="Times New Roman" w:hAnsi="Times New Roman" w:cs="Times New Roman"/>
        </w:rPr>
      </w:pPr>
    </w:p>
    <w:p w:rsidR="00046CDE" w:rsidRDefault="00046CDE">
      <w:pPr>
        <w:rPr>
          <w:rFonts w:ascii="Times New Roman" w:hAnsi="Times New Roman" w:cs="Times New Roman"/>
          <w:b/>
          <w:bCs/>
          <w:sz w:val="30"/>
          <w:szCs w:val="30"/>
        </w:rPr>
      </w:pPr>
      <w:r>
        <w:rPr>
          <w:rFonts w:ascii="Times New Roman" w:hAnsi="Times New Roman" w:cs="宋体" w:hint="eastAsia"/>
          <w:b/>
          <w:bCs/>
          <w:sz w:val="30"/>
          <w:szCs w:val="30"/>
        </w:rPr>
        <w:t>网络安全等级保护（三级）测评服务</w:t>
      </w:r>
    </w:p>
    <w:p w:rsidR="00046CDE" w:rsidRDefault="00046CDE">
      <w:pPr>
        <w:rPr>
          <w:rFonts w:ascii="Times New Roman" w:hAnsi="Times New Roman" w:cs="Times New Roman"/>
          <w:sz w:val="24"/>
          <w:szCs w:val="24"/>
        </w:rPr>
      </w:pPr>
      <w:r>
        <w:rPr>
          <w:rFonts w:ascii="Times New Roman" w:hAnsi="Times New Roman" w:cs="宋体" w:hint="eastAsia"/>
          <w:sz w:val="24"/>
          <w:szCs w:val="24"/>
        </w:rPr>
        <w:t>根据《福建卫生健康委员会、福建省公安厅关于进一步推进全省卫生健康行业网络安全等级保护工作的通知》文件要求，定级为三级的信息系统，每年应开展一次网络安全等级测评。</w:t>
      </w:r>
    </w:p>
    <w:p w:rsidR="00046CDE" w:rsidRDefault="00046CDE">
      <w:pPr>
        <w:rPr>
          <w:rFonts w:ascii="宋体" w:cs="Times New Roman"/>
          <w:sz w:val="24"/>
          <w:szCs w:val="24"/>
        </w:rPr>
      </w:pPr>
      <w:r>
        <w:rPr>
          <w:rFonts w:ascii="宋体" w:hAnsi="宋体" w:cs="宋体" w:hint="eastAsia"/>
          <w:sz w:val="24"/>
          <w:szCs w:val="24"/>
        </w:rPr>
        <w:t>提供近三年内同类产品销售合同或发票复印件</w:t>
      </w:r>
    </w:p>
    <w:p w:rsidR="00046CDE" w:rsidRDefault="00046CDE">
      <w:pPr>
        <w:rPr>
          <w:rFonts w:ascii="Times New Roman" w:hAnsi="Times New Roman" w:cs="Times New Roman"/>
          <w:sz w:val="24"/>
          <w:szCs w:val="24"/>
        </w:rPr>
      </w:pPr>
    </w:p>
    <w:p w:rsidR="00046CDE" w:rsidRDefault="00046CDE">
      <w:pPr>
        <w:rPr>
          <w:rFonts w:ascii="Times New Roman" w:hAnsi="Times New Roman" w:cs="Times New Roman"/>
          <w:sz w:val="24"/>
          <w:szCs w:val="24"/>
        </w:rPr>
      </w:pPr>
    </w:p>
    <w:p w:rsidR="00046CDE" w:rsidRDefault="00046CDE">
      <w:pPr>
        <w:rPr>
          <w:rFonts w:ascii="Times New Roman" w:hAnsi="Times New Roman" w:cs="Times New Roman"/>
          <w:b/>
          <w:bCs/>
          <w:sz w:val="30"/>
          <w:szCs w:val="30"/>
        </w:rPr>
      </w:pPr>
      <w:r>
        <w:rPr>
          <w:rFonts w:ascii="Times New Roman" w:hAnsi="Times New Roman" w:cs="宋体" w:hint="eastAsia"/>
          <w:b/>
          <w:bCs/>
          <w:sz w:val="30"/>
          <w:szCs w:val="30"/>
        </w:rPr>
        <w:t>气体灭火系统</w:t>
      </w:r>
    </w:p>
    <w:p w:rsidR="00046CDE" w:rsidRDefault="00046CDE">
      <w:pPr>
        <w:rPr>
          <w:rFonts w:ascii="Times New Roman" w:hAnsi="Times New Roman" w:cs="Times New Roman"/>
          <w:sz w:val="24"/>
          <w:szCs w:val="24"/>
        </w:rPr>
      </w:pPr>
      <w:r>
        <w:rPr>
          <w:rFonts w:ascii="Times New Roman" w:hAnsi="Times New Roman" w:cs="宋体" w:hint="eastAsia"/>
          <w:sz w:val="24"/>
          <w:szCs w:val="24"/>
        </w:rPr>
        <w:t>项目介绍：气体灭火系统用于我院新门诊楼信息机房，机房面积</w:t>
      </w:r>
      <w:r>
        <w:rPr>
          <w:rFonts w:ascii="Times New Roman" w:hAnsi="Times New Roman" w:cs="Times New Roman"/>
          <w:sz w:val="24"/>
          <w:szCs w:val="24"/>
        </w:rPr>
        <w:t>77.2</w:t>
      </w:r>
      <w:r>
        <w:rPr>
          <w:rFonts w:ascii="Times New Roman" w:hAnsi="Times New Roman" w:cs="宋体" w:hint="eastAsia"/>
          <w:sz w:val="24"/>
          <w:szCs w:val="24"/>
        </w:rPr>
        <w:t>㎡，高度</w:t>
      </w:r>
      <w:r>
        <w:rPr>
          <w:rFonts w:ascii="Times New Roman" w:hAnsi="Times New Roman" w:cs="Times New Roman"/>
          <w:sz w:val="24"/>
          <w:szCs w:val="24"/>
        </w:rPr>
        <w:t>3m</w:t>
      </w:r>
      <w:r>
        <w:rPr>
          <w:rFonts w:ascii="Times New Roman" w:hAnsi="Times New Roman" w:cs="宋体" w:hint="eastAsia"/>
          <w:sz w:val="24"/>
          <w:szCs w:val="24"/>
        </w:rPr>
        <w:t>，灭火体积为</w:t>
      </w:r>
      <w:r>
        <w:rPr>
          <w:rFonts w:ascii="Times New Roman" w:hAnsi="Times New Roman" w:cs="Times New Roman"/>
          <w:sz w:val="24"/>
          <w:szCs w:val="24"/>
        </w:rPr>
        <w:t>231.6m³</w:t>
      </w:r>
      <w:r>
        <w:rPr>
          <w:rFonts w:ascii="Times New Roman" w:hAnsi="Times New Roman" w:cs="宋体" w:hint="eastAsia"/>
          <w:sz w:val="24"/>
          <w:szCs w:val="24"/>
        </w:rPr>
        <w:t>。采用七氟丙烷气体灭火装置</w:t>
      </w:r>
    </w:p>
    <w:p w:rsidR="00046CDE" w:rsidRDefault="00046CDE">
      <w:pPr>
        <w:rPr>
          <w:rFonts w:ascii="Times New Roman" w:hAnsi="Times New Roman" w:cs="Times New Roman"/>
          <w:sz w:val="24"/>
          <w:szCs w:val="24"/>
        </w:rPr>
      </w:pPr>
      <w:r>
        <w:rPr>
          <w:rFonts w:ascii="Times New Roman" w:hAnsi="Times New Roman" w:cs="宋体" w:hint="eastAsia"/>
          <w:sz w:val="24"/>
          <w:szCs w:val="24"/>
        </w:rPr>
        <w:t>采购内容：七氟丙烷灭火装置两组，含灭火剂</w:t>
      </w:r>
      <w:r>
        <w:rPr>
          <w:rFonts w:ascii="Times New Roman" w:hAnsi="Times New Roman" w:cs="Times New Roman"/>
          <w:sz w:val="24"/>
          <w:szCs w:val="24"/>
        </w:rPr>
        <w:t>180KG</w:t>
      </w:r>
    </w:p>
    <w:p w:rsidR="00046CDE" w:rsidRDefault="00046CDE">
      <w:pPr>
        <w:rPr>
          <w:rFonts w:ascii="Times New Roman" w:hAnsi="Times New Roman" w:cs="Times New Roman"/>
          <w:sz w:val="24"/>
          <w:szCs w:val="24"/>
        </w:rPr>
      </w:pPr>
      <w:r>
        <w:rPr>
          <w:rFonts w:ascii="Times New Roman" w:hAnsi="Times New Roman" w:cs="宋体" w:hint="eastAsia"/>
          <w:sz w:val="24"/>
          <w:szCs w:val="24"/>
        </w:rPr>
        <w:t>安装要求：按照</w:t>
      </w:r>
      <w:r>
        <w:rPr>
          <w:rFonts w:ascii="Times New Roman" w:hAnsi="Times New Roman" w:cs="Times New Roman"/>
          <w:sz w:val="24"/>
          <w:szCs w:val="24"/>
        </w:rPr>
        <w:t>GB16670-2006</w:t>
      </w:r>
      <w:r>
        <w:rPr>
          <w:rFonts w:ascii="Times New Roman" w:hAnsi="Times New Roman" w:cs="宋体" w:hint="eastAsia"/>
          <w:sz w:val="24"/>
          <w:szCs w:val="24"/>
        </w:rPr>
        <w:t>标准送检认证，灭火剂须喷放迅速、均匀，工作运行可靠，可用于扑灭通讯机房和电子计算机房等火灾。施工方须包安装、调试、出具施工图，确保该装置可与我院新门诊楼信息机房已部署到位的气体灭火系统其他配套设备（如探测器、声光报警、报警主机、气体释放灯等）进行对接，气体灭火系统需与消控室报警主机（北大青鸟）通讯兼容，实现报警联动；设备保修三年。</w:t>
      </w:r>
      <w:bookmarkStart w:id="0" w:name="_GoBack"/>
      <w:bookmarkEnd w:id="0"/>
    </w:p>
    <w:p w:rsidR="00046CDE" w:rsidRDefault="00046CDE">
      <w:pPr>
        <w:rPr>
          <w:rFonts w:ascii="Times New Roman" w:hAnsi="Times New Roman" w:cs="Times New Roman"/>
          <w:sz w:val="24"/>
          <w:szCs w:val="24"/>
        </w:rPr>
      </w:pPr>
      <w:r>
        <w:rPr>
          <w:rFonts w:ascii="Times New Roman" w:hAnsi="Times New Roman" w:cs="宋体" w:hint="eastAsia"/>
          <w:sz w:val="24"/>
          <w:szCs w:val="24"/>
        </w:rPr>
        <w:t>其他说明：该系统采用何种灭火方式（管网或柜式），以实地查看现场为准。</w:t>
      </w:r>
    </w:p>
    <w:p w:rsidR="00046CDE" w:rsidRDefault="00046CDE">
      <w:pPr>
        <w:rPr>
          <w:rFonts w:ascii="宋体" w:cs="Times New Roman"/>
          <w:sz w:val="24"/>
          <w:szCs w:val="24"/>
        </w:rPr>
      </w:pPr>
      <w:r>
        <w:rPr>
          <w:rFonts w:ascii="宋体" w:hAnsi="宋体" w:cs="宋体" w:hint="eastAsia"/>
          <w:sz w:val="24"/>
          <w:szCs w:val="24"/>
        </w:rPr>
        <w:t>提供近三年内同类产品销售合同或发票复印件</w:t>
      </w:r>
    </w:p>
    <w:p w:rsidR="00046CDE" w:rsidRDefault="00046CDE">
      <w:pPr>
        <w:rPr>
          <w:rFonts w:ascii="Times New Roman" w:hAnsi="Times New Roman" w:cs="Times New Roman"/>
          <w:sz w:val="24"/>
          <w:szCs w:val="24"/>
        </w:rPr>
      </w:pPr>
    </w:p>
    <w:sectPr w:rsidR="00046CDE" w:rsidSect="009F1761">
      <w:pgSz w:w="11906" w:h="16838"/>
      <w:pgMar w:top="1440" w:right="1179" w:bottom="816" w:left="117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fal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lvlText w:val="%1."/>
      <w:lvlJc w:val="left"/>
      <w:pPr>
        <w:ind w:left="425" w:hanging="425"/>
      </w:pPr>
      <w:rPr>
        <w:rFonts w:hint="default"/>
      </w:rPr>
    </w:lvl>
  </w:abstractNum>
  <w:abstractNum w:abstractNumId="1">
    <w:nsid w:val="532FF329"/>
    <w:multiLevelType w:val="singleLevel"/>
    <w:tmpl w:val="532FF32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C23"/>
    <w:rsid w:val="00042C23"/>
    <w:rsid w:val="00046CDE"/>
    <w:rsid w:val="00091882"/>
    <w:rsid w:val="0028728D"/>
    <w:rsid w:val="006672BB"/>
    <w:rsid w:val="00721006"/>
    <w:rsid w:val="008712E7"/>
    <w:rsid w:val="008933B7"/>
    <w:rsid w:val="008A6044"/>
    <w:rsid w:val="00941D11"/>
    <w:rsid w:val="009F1761"/>
    <w:rsid w:val="00A42D5C"/>
    <w:rsid w:val="00AB2040"/>
    <w:rsid w:val="00AC3C03"/>
    <w:rsid w:val="00AE0885"/>
    <w:rsid w:val="00BA7B64"/>
    <w:rsid w:val="00BF6CB6"/>
    <w:rsid w:val="00C2486D"/>
    <w:rsid w:val="00CC28A1"/>
    <w:rsid w:val="00EB1ADF"/>
    <w:rsid w:val="080B7418"/>
    <w:rsid w:val="086D04DC"/>
    <w:rsid w:val="087772B3"/>
    <w:rsid w:val="0E2A399A"/>
    <w:rsid w:val="12650D03"/>
    <w:rsid w:val="13B05BA7"/>
    <w:rsid w:val="172F373F"/>
    <w:rsid w:val="18F65E32"/>
    <w:rsid w:val="18FC52DE"/>
    <w:rsid w:val="197F7076"/>
    <w:rsid w:val="1E436D31"/>
    <w:rsid w:val="209F25E0"/>
    <w:rsid w:val="22D51478"/>
    <w:rsid w:val="24F52A53"/>
    <w:rsid w:val="2B1378CC"/>
    <w:rsid w:val="2B810041"/>
    <w:rsid w:val="2D8E1F0F"/>
    <w:rsid w:val="2FC519CA"/>
    <w:rsid w:val="2FCA7BEE"/>
    <w:rsid w:val="30EC35D9"/>
    <w:rsid w:val="343008EB"/>
    <w:rsid w:val="35E44B25"/>
    <w:rsid w:val="3ADC42F4"/>
    <w:rsid w:val="3CC21EB5"/>
    <w:rsid w:val="3CDF2CF5"/>
    <w:rsid w:val="3D58288C"/>
    <w:rsid w:val="422B7E80"/>
    <w:rsid w:val="42DD0629"/>
    <w:rsid w:val="43453A56"/>
    <w:rsid w:val="457700C6"/>
    <w:rsid w:val="468A1EB7"/>
    <w:rsid w:val="481C0320"/>
    <w:rsid w:val="498176E4"/>
    <w:rsid w:val="49CC0FC7"/>
    <w:rsid w:val="4A2110D8"/>
    <w:rsid w:val="4EA869E0"/>
    <w:rsid w:val="4EC46A0C"/>
    <w:rsid w:val="50042ED4"/>
    <w:rsid w:val="50502CF7"/>
    <w:rsid w:val="541B63B8"/>
    <w:rsid w:val="590A7654"/>
    <w:rsid w:val="5B273B7E"/>
    <w:rsid w:val="5C04392E"/>
    <w:rsid w:val="609D65A4"/>
    <w:rsid w:val="62467D42"/>
    <w:rsid w:val="64717A6D"/>
    <w:rsid w:val="67480616"/>
    <w:rsid w:val="679132D4"/>
    <w:rsid w:val="67A53AA0"/>
    <w:rsid w:val="67CB15DF"/>
    <w:rsid w:val="67F455F9"/>
    <w:rsid w:val="6BFA44CF"/>
    <w:rsid w:val="6C3854D4"/>
    <w:rsid w:val="70B13335"/>
    <w:rsid w:val="757B1616"/>
    <w:rsid w:val="76FB38AC"/>
    <w:rsid w:val="779D6B0B"/>
    <w:rsid w:val="7ABD629D"/>
    <w:rsid w:val="7AF31604"/>
    <w:rsid w:val="7B3C5A14"/>
    <w:rsid w:val="7DD270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locked="1" w:semiHidden="0" w:uiPriority="0"/>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F1761"/>
    <w:pPr>
      <w:widowControl w:val="0"/>
      <w:jc w:val="both"/>
    </w:pPr>
    <w:rPr>
      <w:rFonts w:ascii="Calibri" w:hAnsi="Calibri" w:cs="Calibri"/>
      <w:szCs w:val="21"/>
    </w:rPr>
  </w:style>
  <w:style w:type="paragraph" w:styleId="Heading2">
    <w:name w:val="heading 2"/>
    <w:basedOn w:val="Normal"/>
    <w:next w:val="NormalIndent"/>
    <w:link w:val="Heading2Char"/>
    <w:uiPriority w:val="99"/>
    <w:qFormat/>
    <w:rsid w:val="009F1761"/>
    <w:pPr>
      <w:spacing w:beforeAutospacing="1" w:afterAutospacing="1"/>
      <w:outlineLvl w:val="1"/>
    </w:pPr>
    <w:rPr>
      <w:rFonts w:ascii="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16C4"/>
    <w:rPr>
      <w:rFonts w:asciiTheme="majorHAnsi" w:eastAsiaTheme="majorEastAsia" w:hAnsiTheme="majorHAnsi" w:cstheme="majorBidi"/>
      <w:b/>
      <w:bCs/>
      <w:sz w:val="32"/>
      <w:szCs w:val="32"/>
    </w:rPr>
  </w:style>
  <w:style w:type="paragraph" w:styleId="NormalIndent">
    <w:name w:val="Normal Indent"/>
    <w:basedOn w:val="Normal"/>
    <w:uiPriority w:val="99"/>
    <w:rsid w:val="009F1761"/>
    <w:pPr>
      <w:ind w:firstLineChars="200" w:firstLine="420"/>
    </w:pPr>
  </w:style>
  <w:style w:type="paragraph" w:styleId="BlockText">
    <w:name w:val="Block Text"/>
    <w:basedOn w:val="Normal"/>
    <w:uiPriority w:val="99"/>
    <w:rsid w:val="009F1761"/>
    <w:pPr>
      <w:spacing w:line="360" w:lineRule="auto"/>
      <w:ind w:left="560" w:rightChars="169" w:right="355" w:hangingChars="200" w:hanging="560"/>
    </w:pPr>
    <w:rPr>
      <w:rFonts w:ascii="Times New Roman" w:hAnsi="Times New Roman" w:cs="Times New Roman"/>
      <w:sz w:val="28"/>
      <w:szCs w:val="28"/>
    </w:rPr>
  </w:style>
  <w:style w:type="paragraph" w:styleId="Footer">
    <w:name w:val="footer"/>
    <w:basedOn w:val="Normal"/>
    <w:link w:val="FooterChar"/>
    <w:uiPriority w:val="99"/>
    <w:rsid w:val="009F176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F16C4"/>
    <w:rPr>
      <w:rFonts w:ascii="Calibri" w:hAnsi="Calibri" w:cs="Calibri"/>
      <w:sz w:val="18"/>
      <w:szCs w:val="18"/>
    </w:rPr>
  </w:style>
  <w:style w:type="paragraph" w:styleId="NormalWeb">
    <w:name w:val="Normal (Web)"/>
    <w:basedOn w:val="Normal"/>
    <w:uiPriority w:val="99"/>
    <w:rsid w:val="009F1761"/>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9F176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F1761"/>
    <w:rPr>
      <w:b/>
      <w:bCs/>
    </w:rPr>
  </w:style>
  <w:style w:type="character" w:styleId="PageNumber">
    <w:name w:val="page number"/>
    <w:basedOn w:val="DefaultParagraphFont"/>
    <w:uiPriority w:val="99"/>
    <w:rsid w:val="009F1761"/>
  </w:style>
  <w:style w:type="character" w:styleId="FollowedHyperlink">
    <w:name w:val="FollowedHyperlink"/>
    <w:basedOn w:val="DefaultParagraphFont"/>
    <w:uiPriority w:val="99"/>
    <w:semiHidden/>
    <w:rsid w:val="009F1761"/>
    <w:rPr>
      <w:color w:val="auto"/>
      <w:u w:val="none"/>
    </w:rPr>
  </w:style>
  <w:style w:type="character" w:styleId="Hyperlink">
    <w:name w:val="Hyperlink"/>
    <w:basedOn w:val="DefaultParagraphFont"/>
    <w:uiPriority w:val="99"/>
    <w:semiHidden/>
    <w:rsid w:val="009F1761"/>
    <w:rPr>
      <w:color w:val="auto"/>
      <w:u w:val="none"/>
    </w:rPr>
  </w:style>
  <w:style w:type="paragraph" w:styleId="ListParagraph">
    <w:name w:val="List Paragraph"/>
    <w:basedOn w:val="Normal"/>
    <w:uiPriority w:val="99"/>
    <w:qFormat/>
    <w:rsid w:val="009F1761"/>
    <w:pPr>
      <w:ind w:firstLineChars="200" w:firstLine="420"/>
    </w:pPr>
  </w:style>
  <w:style w:type="paragraph" w:customStyle="1" w:styleId="Default">
    <w:name w:val="Default"/>
    <w:uiPriority w:val="99"/>
    <w:rsid w:val="009F1761"/>
    <w:pPr>
      <w:widowControl w:val="0"/>
      <w:autoSpaceDE w:val="0"/>
      <w:autoSpaceDN w:val="0"/>
      <w:adjustRightInd w:val="0"/>
    </w:pPr>
    <w:rPr>
      <w:rFonts w:ascii="PMingLiUfalt" w:eastAsia="PMingLiUfalt" w:cs="PMingLiUfalt"/>
      <w:color w:val="000000"/>
      <w:kern w:val="0"/>
      <w:sz w:val="24"/>
      <w:szCs w:val="24"/>
    </w:rPr>
  </w:style>
  <w:style w:type="paragraph" w:customStyle="1" w:styleId="a">
    <w:name w:val="页眉与页脚"/>
    <w:uiPriority w:val="99"/>
    <w:rsid w:val="009F1761"/>
    <w:pPr>
      <w:tabs>
        <w:tab w:val="right" w:pos="9020"/>
      </w:tabs>
    </w:pPr>
    <w:rPr>
      <w:rFonts w:ascii="Helvetica" w:eastAsia="Times New Roman" w:hAnsi="Arial Unicode MS" w:cs="Helvetica"/>
      <w:color w:val="000000"/>
      <w:kern w:val="0"/>
      <w:sz w:val="24"/>
      <w:szCs w:val="24"/>
    </w:rPr>
  </w:style>
  <w:style w:type="paragraph" w:customStyle="1" w:styleId="yiv1649619028msonormal">
    <w:name w:val="yiv1649619028msonormal"/>
    <w:basedOn w:val="Normal"/>
    <w:uiPriority w:val="99"/>
    <w:rsid w:val="009F1761"/>
    <w:pPr>
      <w:spacing w:beforeAutospacing="1" w:afterAutospacing="1"/>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264</Words>
  <Characters>1509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李明娟</dc:creator>
  <cp:keywords/>
  <dc:description/>
  <cp:lastModifiedBy>冯岩(9200716001)</cp:lastModifiedBy>
  <cp:revision>4</cp:revision>
  <dcterms:created xsi:type="dcterms:W3CDTF">2018-11-21T08:16:00Z</dcterms:created>
  <dcterms:modified xsi:type="dcterms:W3CDTF">2020-07-24T03:24:00Z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