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动度仪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数量：一台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参数配置：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额定功率: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5VA，Type FW 7660M/05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设备尺寸: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195×120×45mm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包装尺寸: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280×240×63mm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设备重量: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0.4Kg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总重: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1.0Kg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测量仪依据 EN60601-1（二级，内部能源、BF 型供应部件。不是 AP\APG 设备，无防水保护.） ，EN60601-2 和 UL2601-1 标准生产。使用的符号，都满足欧洲标准 EN60601-1，ISO 标准 9687和 15223。一个单独 Smartpeg 的 ISQ 准确度是±0.5ISQ 单位。在不同的 Smartpeg之间，包含附属扭矩的变异和个体变异，其准确度是+/-2ISQ 单位。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根管显微镜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数量：2台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参数配置：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1、双目镜筒：0°～180°变角双目镜筒，F=170mm，瞳距调节范围54mm~76mm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2、镜筒焦距：170mm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3、镜筒瞳距调节范围：瞳距可调，瞳距覆盖范围55-75mm，带精确瞳距调节旋钮，可显示瞳距数值，调节精度小于1mm。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4、目镜：12.5X，视度调节范围±7D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5、放大倍数：3~25倍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6、视度调节范围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 xml:space="preserve">：±7D 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7、转鼓倍率因子：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六档y=0.3x,0.5x,0.8x,1.2x,2.0x, 3.0x；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8、总倍率：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(F250)2.8x,4.2x,6.9x,10.4x,17.0x,25.6x；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9、大物镜：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F=250mm复消色差；带防溅罩。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10、视场直径：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(F250) 8~78mm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11、滤色片：橙色滤片、绿色（无赤）滤片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12、支架部分：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落地式支架，支架臂伸展范围不小于1100mm。小横臂旋转角度±150º，上下移动±300 mm；大横臂旋转角度360º。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13、120°平衡挂臂：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显微镜头带120°平衡挂臂，俯仰≥-30°~+60°，旋转≥±60°，可调节扭力平衡和阻尼大小，可以使主镜系统前后、左右无重力旋转。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14、光源：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冷光源双通道LED合光照明系统集成在显微镜镜头中，亮度连续可调。物面照度（F250）,不低于60,000Lx，平均使用寿命不少于40000小时。额定电压220V±10%；频率50/60Hz。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15、照明光斑直径：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(F250) ≥Φ62mm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16、配有30度光学延长器：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30度光学延长器带分光器2:8，与立体分光器集成于一体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17、配有数码影像接口：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数码单反相机或摄像机接口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18、配有相机内置电源：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带相机电源，内置于显微镜横臂内，持续供电。</w:t>
      </w:r>
    </w:p>
    <w:p>
      <w:pPr>
        <w:pStyle w:val="5"/>
        <w:spacing w:line="360" w:lineRule="auto"/>
        <w:ind w:left="360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19、配有相机无线脚踏遥控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带无线脚踏拍照装置。</w:t>
      </w:r>
    </w:p>
    <w:p>
      <w:pPr>
        <w:pStyle w:val="5"/>
        <w:spacing w:line="360" w:lineRule="auto"/>
        <w:ind w:left="359" w:leftChars="171" w:firstLine="480"/>
        <w:rPr>
          <w:rFonts w:ascii="宋体" w:hAnsi="宋体" w:cs="微软雅黑"/>
          <w:color w:val="000000"/>
          <w:sz w:val="24"/>
          <w:szCs w:val="24"/>
        </w:rPr>
      </w:pPr>
      <w:r>
        <w:rPr>
          <w:rFonts w:hint="eastAsia" w:ascii="宋体" w:hAnsi="宋体" w:cs="微软雅黑"/>
          <w:color w:val="000000"/>
          <w:sz w:val="24"/>
          <w:szCs w:val="24"/>
        </w:rPr>
        <w:t>20、配有大变焦物镜</w:t>
      </w:r>
      <w:r>
        <w:rPr>
          <w:rFonts w:hint="eastAsia" w:ascii="宋体" w:hAnsi="宋体" w:cs="微软雅黑"/>
          <w:color w:val="000000"/>
          <w:sz w:val="24"/>
          <w:szCs w:val="24"/>
        </w:rPr>
        <w:tab/>
      </w:r>
      <w:r>
        <w:rPr>
          <w:rFonts w:hint="eastAsia" w:ascii="宋体" w:hAnsi="宋体" w:cs="微软雅黑"/>
          <w:color w:val="000000"/>
          <w:sz w:val="24"/>
          <w:szCs w:val="24"/>
        </w:rPr>
        <w:t>F=190-300mm</w:t>
      </w:r>
    </w:p>
    <w:p>
      <w:pPr>
        <w:pStyle w:val="5"/>
        <w:spacing w:line="360" w:lineRule="auto"/>
        <w:ind w:left="359" w:leftChars="171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21、整机保修三年，定期上门维护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影像板扫描仪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数量：1台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参数配置：</w:t>
      </w:r>
    </w:p>
    <w:p>
      <w:pPr>
        <w:pStyle w:val="5"/>
        <w:spacing w:line="360" w:lineRule="auto"/>
        <w:ind w:left="1320" w:leftChars="400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1、配有牙片CR影像板（分别有0、1、2、3、4号）和对应保护纸板、咬合片套各一盒 </w:t>
      </w:r>
    </w:p>
    <w:p>
      <w:pPr>
        <w:pStyle w:val="5"/>
        <w:spacing w:line="360" w:lineRule="auto"/>
        <w:ind w:left="360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2、快速平扫模式、高性能、UV消毒、带有液晶显示屏 </w:t>
      </w:r>
    </w:p>
    <w:p>
      <w:pPr>
        <w:pStyle w:val="5"/>
        <w:spacing w:line="360" w:lineRule="auto"/>
        <w:ind w:left="360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3、需完美兼容科室现有牙片软件dfw和数据库 </w:t>
      </w:r>
    </w:p>
    <w:p>
      <w:pPr>
        <w:pStyle w:val="5"/>
        <w:spacing w:line="360" w:lineRule="auto"/>
        <w:ind w:left="360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4、需配有双千兆网卡、2GB显存独立的显卡、高性能CPU的电脑 </w:t>
      </w:r>
    </w:p>
    <w:p>
      <w:pPr>
        <w:pStyle w:val="5"/>
        <w:spacing w:line="360" w:lineRule="auto"/>
        <w:ind w:left="359" w:leftChars="171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5、免费开放dicom、客户端数量不受限制</w:t>
      </w:r>
    </w:p>
    <w:p>
      <w:pPr>
        <w:pStyle w:val="5"/>
        <w:spacing w:line="360" w:lineRule="auto"/>
        <w:ind w:left="359" w:leftChars="171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6、整机三年免费保修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驱血带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数量：1台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参数配置：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适用范围：适用于外科四肢手术中的止血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1.具有漏压自动补偿功能，压力能恒定于所设定的工作值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2.根据手术情况，可减止血带的压力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3.工作时间120分钟内随意设定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4.气泵充气速度快，手术结束时可快速放气或缓慢放气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5.屏幕采用数码显示，可查看工作的压力和时间等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6.止血袖带舒适不易松动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7.工作压力超过80kpa时声光报警提示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8.工作压力大于设定压力3kpa时自动泄压到压力范围值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技术参数：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电源：AC200V±22V 50HZ±1 Hz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最大输入功率：80VA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时间范围：1-120分钟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压力范围:1-100kpa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工作压力误差：3kpa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噪声：≤65dB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万向关节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数量：1套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参数配置：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用来锁定患者静态颌关系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以新型铝合金为材料使面弓更轻便并易于使用。易于操作，可以准确的锁定患者上颌关系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通过转移台将颌位转移至颌架上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颌位锁定形式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单点锁定式万向关节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旋转方向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360度自由旋转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39"/>
    <w:rsid w:val="00170729"/>
    <w:rsid w:val="00394239"/>
    <w:rsid w:val="00420712"/>
    <w:rsid w:val="00422863"/>
    <w:rsid w:val="004565C2"/>
    <w:rsid w:val="004964CA"/>
    <w:rsid w:val="004C4199"/>
    <w:rsid w:val="005C0CF0"/>
    <w:rsid w:val="005C0E95"/>
    <w:rsid w:val="005F57EC"/>
    <w:rsid w:val="0065064B"/>
    <w:rsid w:val="007769B7"/>
    <w:rsid w:val="007C0876"/>
    <w:rsid w:val="007C1B09"/>
    <w:rsid w:val="007F28C4"/>
    <w:rsid w:val="008F3018"/>
    <w:rsid w:val="00AD439B"/>
    <w:rsid w:val="00AD495C"/>
    <w:rsid w:val="00B71EAD"/>
    <w:rsid w:val="00CA2ED7"/>
    <w:rsid w:val="00D22DAD"/>
    <w:rsid w:val="00D65170"/>
    <w:rsid w:val="00F149B5"/>
    <w:rsid w:val="00F26974"/>
    <w:rsid w:val="00F26CC6"/>
    <w:rsid w:val="00FA6003"/>
    <w:rsid w:val="3A33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纯文本 Char"/>
    <w:basedOn w:val="3"/>
    <w:link w:val="2"/>
    <w:uiPriority w:val="0"/>
    <w:rPr>
      <w:rFonts w:ascii="宋体" w:hAnsi="Courier New" w:cs="Courier New"/>
      <w:szCs w:val="21"/>
    </w:rPr>
  </w:style>
  <w:style w:type="paragraph" w:customStyle="1" w:styleId="7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573</Words>
  <Characters>3269</Characters>
  <Lines>27</Lines>
  <Paragraphs>7</Paragraphs>
  <TotalTime>0</TotalTime>
  <ScaleCrop>false</ScaleCrop>
  <LinksUpToDate>false</LinksUpToDate>
  <CharactersWithSpaces>3835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2018-05-07T07:42:00Z</dcterms:created>
  <dc:creator>刘美铢</dc:creator>
  <cp:lastModifiedBy>庄怡园</cp:lastModifiedBy>
  <dcterms:modified xsi:type="dcterms:W3CDTF">2018-05-08T08:01:23Z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